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 xml:space="preserve">3GPP TSG RAN WG1 Meeting </w:t>
      </w:r>
      <w:r w:rsidR="002B3257">
        <w:rPr>
          <w:rFonts w:eastAsiaTheme="minorEastAsia" w:cs="Arial" w:hint="eastAsia"/>
          <w:bCs/>
          <w:sz w:val="24"/>
          <w:szCs w:val="24"/>
          <w:lang w:eastAsia="zh-CN"/>
        </w:rPr>
        <w:t>NR</w:t>
      </w:r>
      <w:r w:rsidRPr="001D2C7C">
        <w:rPr>
          <w:rFonts w:cs="Arial"/>
          <w:bCs/>
          <w:sz w:val="24"/>
          <w:szCs w:val="24"/>
        </w:rPr>
        <w:t>#</w:t>
      </w:r>
      <w:r w:rsidR="00C200C3">
        <w:rPr>
          <w:rFonts w:eastAsiaTheme="minorEastAsia" w:cs="Arial"/>
          <w:bCs/>
          <w:sz w:val="24"/>
          <w:szCs w:val="24"/>
          <w:lang w:eastAsia="zh-CN"/>
        </w:rPr>
        <w:t>3</w:t>
      </w:r>
      <w:r w:rsidRPr="001D2C7C">
        <w:rPr>
          <w:rFonts w:cs="Arial"/>
          <w:bCs/>
          <w:sz w:val="24"/>
          <w:szCs w:val="24"/>
        </w:rPr>
        <w:tab/>
      </w:r>
      <w:r w:rsidR="00FE5414" w:rsidRPr="0082251E">
        <w:rPr>
          <w:rFonts w:eastAsiaTheme="minorEastAsia" w:cs="Arial" w:hint="eastAsia"/>
          <w:bCs/>
          <w:sz w:val="24"/>
          <w:szCs w:val="24"/>
          <w:lang w:eastAsia="zh-CN"/>
        </w:rPr>
        <w:t xml:space="preserve"> </w:t>
      </w:r>
      <w:r w:rsidRPr="0082251E">
        <w:rPr>
          <w:rFonts w:cs="Arial"/>
          <w:bCs/>
          <w:sz w:val="24"/>
          <w:szCs w:val="24"/>
        </w:rPr>
        <w:t xml:space="preserve">    </w:t>
      </w:r>
      <w:r w:rsidR="002A2D93" w:rsidRPr="002A2D93">
        <w:rPr>
          <w:sz w:val="24"/>
          <w:szCs w:val="24"/>
        </w:rPr>
        <w:t xml:space="preserve"> R1-1716339</w:t>
      </w:r>
    </w:p>
    <w:p w:rsidR="00F100D0" w:rsidRPr="001D2C7C" w:rsidRDefault="00C200C3" w:rsidP="00F100D0">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Nagoya</w:t>
      </w:r>
      <w:r w:rsidR="00F100D0" w:rsidRPr="00DF2518">
        <w:rPr>
          <w:rFonts w:eastAsiaTheme="minorEastAsia" w:cs="Arial"/>
          <w:bCs/>
          <w:sz w:val="24"/>
          <w:szCs w:val="24"/>
          <w:lang w:eastAsia="zh-CN"/>
        </w:rPr>
        <w:t>,</w:t>
      </w:r>
      <w:r>
        <w:rPr>
          <w:rFonts w:eastAsiaTheme="minorEastAsia" w:cs="Arial"/>
          <w:bCs/>
          <w:sz w:val="24"/>
          <w:szCs w:val="24"/>
          <w:lang w:val="en-US" w:eastAsia="zh-CN"/>
        </w:rPr>
        <w:t xml:space="preserve"> </w:t>
      </w:r>
      <w:r w:rsidRPr="00C200C3">
        <w:rPr>
          <w:rFonts w:eastAsiaTheme="minorEastAsia" w:cs="Arial"/>
          <w:bCs/>
          <w:sz w:val="24"/>
          <w:szCs w:val="24"/>
          <w:lang w:val="en-US" w:eastAsia="zh-CN"/>
        </w:rPr>
        <w:t>Japan</w:t>
      </w:r>
      <w:r w:rsidR="00F100D0" w:rsidRPr="00C200C3">
        <w:rPr>
          <w:rFonts w:eastAsiaTheme="minorEastAsia" w:cs="Arial" w:hint="eastAsia"/>
          <w:bCs/>
          <w:sz w:val="24"/>
          <w:szCs w:val="24"/>
          <w:lang w:eastAsia="zh-CN"/>
        </w:rPr>
        <w:t>,</w:t>
      </w:r>
      <w:r w:rsidR="00F100D0" w:rsidRPr="00C200C3">
        <w:rPr>
          <w:rFonts w:cs="Arial"/>
          <w:bCs/>
          <w:sz w:val="24"/>
          <w:szCs w:val="24"/>
        </w:rPr>
        <w:t xml:space="preserve"> </w:t>
      </w:r>
      <w:r w:rsidRPr="00C200C3">
        <w:rPr>
          <w:rFonts w:cs="Arial"/>
          <w:bCs/>
          <w:sz w:val="24"/>
          <w:szCs w:val="24"/>
        </w:rPr>
        <w:t>18</w:t>
      </w:r>
      <w:r w:rsidRPr="00C200C3">
        <w:rPr>
          <w:rFonts w:cs="Arial"/>
          <w:bCs/>
          <w:sz w:val="24"/>
          <w:szCs w:val="24"/>
          <w:vertAlign w:val="superscript"/>
        </w:rPr>
        <w:t>th</w:t>
      </w:r>
      <w:r w:rsidRPr="00C200C3">
        <w:rPr>
          <w:rFonts w:cs="Arial" w:hint="eastAsia"/>
          <w:bCs/>
          <w:sz w:val="24"/>
          <w:szCs w:val="24"/>
        </w:rPr>
        <w:t xml:space="preserve"> </w:t>
      </w:r>
      <w:r w:rsidRPr="00C200C3">
        <w:rPr>
          <w:rFonts w:cs="Arial"/>
          <w:bCs/>
          <w:sz w:val="24"/>
          <w:szCs w:val="24"/>
        </w:rPr>
        <w:t xml:space="preserve">– </w:t>
      </w:r>
      <w:r w:rsidRPr="00C200C3">
        <w:rPr>
          <w:rFonts w:cs="Arial" w:hint="eastAsia"/>
          <w:bCs/>
          <w:sz w:val="24"/>
          <w:szCs w:val="24"/>
        </w:rPr>
        <w:t>21</w:t>
      </w:r>
      <w:r w:rsidRPr="00C200C3">
        <w:rPr>
          <w:rFonts w:cs="Arial" w:hint="eastAsia"/>
          <w:bCs/>
          <w:sz w:val="24"/>
          <w:szCs w:val="24"/>
          <w:vertAlign w:val="superscript"/>
        </w:rPr>
        <w:t>st</w:t>
      </w:r>
      <w:r w:rsidRPr="00C200C3">
        <w:rPr>
          <w:rFonts w:cs="Arial" w:hint="eastAsia"/>
          <w:bCs/>
          <w:sz w:val="24"/>
          <w:szCs w:val="24"/>
        </w:rPr>
        <w:t xml:space="preserve">, </w:t>
      </w:r>
      <w:r w:rsidRPr="00C200C3">
        <w:rPr>
          <w:rFonts w:cs="Arial"/>
          <w:bCs/>
          <w:sz w:val="24"/>
          <w:szCs w:val="24"/>
        </w:rPr>
        <w:t>September</w:t>
      </w:r>
      <w:r w:rsidRPr="00C200C3">
        <w:rPr>
          <w:rFonts w:cs="Arial"/>
          <w:bCs/>
          <w:sz w:val="24"/>
          <w:szCs w:val="24"/>
          <w:lang w:val="en-US"/>
        </w:rPr>
        <w:t xml:space="preserve"> </w:t>
      </w:r>
      <w:r w:rsidR="00F100D0" w:rsidRPr="00C200C3">
        <w:rPr>
          <w:rFonts w:cs="Arial"/>
          <w:bCs/>
          <w:sz w:val="24"/>
          <w:szCs w:val="24"/>
          <w:lang w:val="en-US"/>
        </w:rPr>
        <w:t>201</w:t>
      </w:r>
      <w:r w:rsidR="00B92BD7" w:rsidRPr="00C200C3">
        <w:rPr>
          <w:rFonts w:eastAsia="SimSun" w:cs="Arial"/>
          <w:bCs/>
          <w:sz w:val="24"/>
          <w:szCs w:val="24"/>
          <w:lang w:val="en-US" w:eastAsia="zh-CN"/>
        </w:rPr>
        <w:t>7</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182E29" w:rsidRPr="00E4386B" w:rsidRDefault="00182E29" w:rsidP="00182E29">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C200C3" w:rsidRPr="00C200C3">
        <w:rPr>
          <w:rFonts w:cs="Arial"/>
          <w:sz w:val="22"/>
          <w:szCs w:val="22"/>
        </w:rPr>
        <w:t>Handling of harmonics related interference</w:t>
      </w: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r w:rsidR="00C200C3">
        <w:rPr>
          <w:rFonts w:eastAsia="SimSun" w:cs="Arial"/>
          <w:sz w:val="22"/>
          <w:szCs w:val="22"/>
          <w:lang w:eastAsia="zh-CN"/>
        </w:rPr>
        <w:t>, Sanechips</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C200C3">
        <w:rPr>
          <w:rFonts w:eastAsiaTheme="minorEastAsia" w:cs="Arial"/>
          <w:sz w:val="22"/>
          <w:szCs w:val="22"/>
          <w:lang w:eastAsia="zh-CN"/>
        </w:rPr>
        <w:t>6.6</w:t>
      </w:r>
    </w:p>
    <w:p w:rsidR="00F100D0" w:rsidRPr="00F100D0" w:rsidRDefault="00F100D0" w:rsidP="00012F8F">
      <w:pPr>
        <w:pBdr>
          <w:bottom w:val="single" w:sz="6" w:space="2" w:color="auto"/>
        </w:pBdr>
        <w:snapToGrid w:val="0"/>
        <w:spacing w:after="0"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75686F" w:rsidRPr="00885230" w:rsidRDefault="00C200C3" w:rsidP="00C200C3">
      <w:pPr>
        <w:spacing w:after="0" w:afterAutospacing="0"/>
        <w:rPr>
          <w:bCs/>
          <w:sz w:val="20"/>
        </w:rPr>
      </w:pPr>
      <w:r w:rsidRPr="00885230">
        <w:rPr>
          <w:bCs/>
          <w:sz w:val="20"/>
        </w:rPr>
        <w:t>RAN1 reached following agreements for the harmonics related UE self interference</w:t>
      </w:r>
      <w:r w:rsidR="0075686F" w:rsidRPr="00885230">
        <w:rPr>
          <w:bCs/>
          <w:sz w:val="20"/>
        </w:rPr>
        <w:t xml:space="preserve">: </w:t>
      </w:r>
    </w:p>
    <w:p w:rsidR="00C200C3" w:rsidRPr="00885230" w:rsidRDefault="00C200C3" w:rsidP="00C200C3">
      <w:pPr>
        <w:spacing w:after="0" w:afterAutospacing="0"/>
        <w:rPr>
          <w:rFonts w:eastAsia="MS Mincho"/>
          <w:b/>
          <w:sz w:val="20"/>
        </w:rPr>
      </w:pPr>
      <w:r w:rsidRPr="00885230">
        <w:rPr>
          <w:rFonts w:eastAsia="MS Mincho"/>
          <w:sz w:val="20"/>
          <w:highlight w:val="green"/>
        </w:rPr>
        <w:t>Agreements</w:t>
      </w:r>
      <w:r w:rsidRPr="00885230">
        <w:rPr>
          <w:rFonts w:eastAsia="MS Mincho"/>
          <w:b/>
          <w:sz w:val="20"/>
        </w:rPr>
        <w:t>:</w:t>
      </w:r>
    </w:p>
    <w:p w:rsidR="00C200C3" w:rsidRPr="00885230" w:rsidRDefault="00C200C3" w:rsidP="00C200C3">
      <w:pPr>
        <w:pStyle w:val="ListParagraph"/>
        <w:numPr>
          <w:ilvl w:val="0"/>
          <w:numId w:val="21"/>
        </w:numPr>
        <w:overflowPunct w:val="0"/>
        <w:autoSpaceDE w:val="0"/>
        <w:autoSpaceDN w:val="0"/>
        <w:adjustRightInd w:val="0"/>
        <w:spacing w:after="180" w:afterAutospacing="0"/>
        <w:ind w:firstLineChars="0"/>
        <w:contextualSpacing/>
        <w:textAlignment w:val="baseline"/>
        <w:rPr>
          <w:szCs w:val="20"/>
        </w:rPr>
      </w:pPr>
      <w:r w:rsidRPr="00885230">
        <w:rPr>
          <w:szCs w:val="20"/>
        </w:rPr>
        <w:t xml:space="preserve">RAN1 should investigate resource management approaches (e.g., time-domain, frequency-domain, etc.) for handling harmonic-related interference between a pair of UL (F1) and DL (F2) carriers </w:t>
      </w:r>
    </w:p>
    <w:p w:rsidR="00C200C3" w:rsidRPr="00885230" w:rsidRDefault="00C200C3" w:rsidP="00C200C3">
      <w:pPr>
        <w:pStyle w:val="ListParagraph"/>
        <w:numPr>
          <w:ilvl w:val="0"/>
          <w:numId w:val="21"/>
        </w:numPr>
        <w:overflowPunct w:val="0"/>
        <w:autoSpaceDE w:val="0"/>
        <w:autoSpaceDN w:val="0"/>
        <w:adjustRightInd w:val="0"/>
        <w:spacing w:after="120" w:afterAutospacing="0"/>
        <w:ind w:firstLineChars="0"/>
        <w:contextualSpacing/>
        <w:textAlignment w:val="baseline"/>
        <w:rPr>
          <w:szCs w:val="20"/>
        </w:rPr>
      </w:pPr>
      <w:r w:rsidRPr="00885230">
        <w:rPr>
          <w:szCs w:val="20"/>
        </w:rPr>
        <w:t>The investigation should include performance, complexity, necessary potential specification impacts (e.g., network signaling, etc.), etc.</w:t>
      </w:r>
    </w:p>
    <w:p w:rsidR="00BA729D" w:rsidRPr="00885230" w:rsidRDefault="00007350" w:rsidP="00CE1F25">
      <w:pPr>
        <w:spacing w:before="120" w:after="120" w:afterAutospacing="0"/>
        <w:rPr>
          <w:bCs/>
          <w:sz w:val="20"/>
        </w:rPr>
      </w:pPr>
      <w:r w:rsidRPr="00885230">
        <w:rPr>
          <w:bCs/>
          <w:sz w:val="20"/>
        </w:rPr>
        <w:t xml:space="preserve">This contribution shows our </w:t>
      </w:r>
      <w:r w:rsidR="00C200C3" w:rsidRPr="00885230">
        <w:rPr>
          <w:bCs/>
          <w:sz w:val="20"/>
        </w:rPr>
        <w:t xml:space="preserve">further </w:t>
      </w:r>
      <w:r w:rsidRPr="00885230">
        <w:rPr>
          <w:bCs/>
          <w:sz w:val="20"/>
        </w:rPr>
        <w:t>view</w:t>
      </w:r>
      <w:r w:rsidR="00A11375" w:rsidRPr="00885230">
        <w:rPr>
          <w:bCs/>
          <w:sz w:val="20"/>
        </w:rPr>
        <w:t>s</w:t>
      </w:r>
      <w:r w:rsidR="00C200C3" w:rsidRPr="00885230">
        <w:rPr>
          <w:bCs/>
          <w:sz w:val="20"/>
        </w:rPr>
        <w:t xml:space="preserve"> for harmonics related interference</w:t>
      </w:r>
      <w:r w:rsidRPr="00885230">
        <w:rPr>
          <w:bCs/>
          <w:sz w:val="20"/>
        </w:rPr>
        <w:t>.</w:t>
      </w:r>
    </w:p>
    <w:p w:rsidR="00007350" w:rsidRDefault="00007350" w:rsidP="00007350">
      <w:pPr>
        <w:pStyle w:val="Heading1"/>
        <w:tabs>
          <w:tab w:val="clear" w:pos="450"/>
          <w:tab w:val="num" w:pos="0"/>
        </w:tabs>
        <w:snapToGrid w:val="0"/>
        <w:spacing w:after="120" w:afterAutospacing="0"/>
        <w:ind w:left="0" w:firstLine="0"/>
        <w:rPr>
          <w:rFonts w:cs="Arial"/>
          <w:b/>
          <w:lang w:val="en-US"/>
        </w:rPr>
      </w:pPr>
      <w:r>
        <w:rPr>
          <w:rFonts w:cs="Arial"/>
          <w:b/>
          <w:lang w:val="en-US"/>
        </w:rPr>
        <w:t xml:space="preserve">Discussion on </w:t>
      </w:r>
      <w:r w:rsidR="00C200C3">
        <w:rPr>
          <w:rFonts w:cs="Arial"/>
          <w:b/>
          <w:lang w:val="en-US"/>
        </w:rPr>
        <w:t>harmonics related interference</w:t>
      </w:r>
    </w:p>
    <w:p w:rsidR="00EF03DF" w:rsidRPr="005A0673" w:rsidRDefault="001E6FBC" w:rsidP="00DA1062">
      <w:pPr>
        <w:spacing w:after="120" w:afterAutospacing="0"/>
        <w:rPr>
          <w:rFonts w:eastAsiaTheme="minorEastAsia"/>
          <w:b/>
          <w:szCs w:val="21"/>
          <w:lang w:val="en-US" w:eastAsia="zh-CN"/>
        </w:rPr>
      </w:pPr>
      <w:r w:rsidRPr="005A0673">
        <w:rPr>
          <w:rFonts w:eastAsiaTheme="minorEastAsia" w:hint="eastAsia"/>
          <w:b/>
          <w:szCs w:val="21"/>
          <w:lang w:val="en-US" w:eastAsia="zh-CN"/>
        </w:rPr>
        <w:t>2.</w:t>
      </w:r>
      <w:r w:rsidR="00FC67A1">
        <w:rPr>
          <w:rFonts w:eastAsiaTheme="minorEastAsia" w:hint="eastAsia"/>
          <w:b/>
          <w:szCs w:val="21"/>
          <w:lang w:val="en-US" w:eastAsia="zh-CN"/>
        </w:rPr>
        <w:t>1</w:t>
      </w:r>
      <w:r w:rsidRPr="005A0673">
        <w:rPr>
          <w:rFonts w:eastAsiaTheme="minorEastAsia" w:hint="eastAsia"/>
          <w:b/>
          <w:szCs w:val="21"/>
          <w:lang w:val="en-US" w:eastAsia="zh-CN"/>
        </w:rPr>
        <w:t xml:space="preserve"> </w:t>
      </w:r>
      <w:r w:rsidR="00C200C3">
        <w:rPr>
          <w:rFonts w:eastAsiaTheme="minorEastAsia"/>
          <w:b/>
          <w:szCs w:val="21"/>
          <w:lang w:val="en-US" w:eastAsia="zh-CN"/>
        </w:rPr>
        <w:t>Harmonics interference from low frequency UL to high frequency DL</w:t>
      </w:r>
    </w:p>
    <w:p w:rsidR="00587D7C" w:rsidRPr="00587D7C" w:rsidRDefault="00587D7C" w:rsidP="00C200C3">
      <w:pPr>
        <w:spacing w:after="120" w:afterAutospacing="0"/>
        <w:jc w:val="both"/>
        <w:rPr>
          <w:rFonts w:eastAsiaTheme="minorEastAsia"/>
          <w:i/>
          <w:szCs w:val="21"/>
          <w:u w:val="single"/>
          <w:lang w:val="en-US" w:eastAsia="zh-CN"/>
        </w:rPr>
      </w:pPr>
      <w:r w:rsidRPr="00587D7C">
        <w:rPr>
          <w:rFonts w:eastAsiaTheme="minorEastAsia"/>
          <w:i/>
          <w:szCs w:val="21"/>
          <w:u w:val="single"/>
          <w:lang w:val="en-US" w:eastAsia="zh-CN"/>
        </w:rPr>
        <w:t>FDM solution</w:t>
      </w:r>
      <w:r w:rsidR="00E853DF">
        <w:rPr>
          <w:rFonts w:eastAsiaTheme="minorEastAsia"/>
          <w:i/>
          <w:szCs w:val="21"/>
          <w:u w:val="single"/>
          <w:lang w:val="en-US" w:eastAsia="zh-CN"/>
        </w:rPr>
        <w:t xml:space="preserve"> based on bandwidth part</w:t>
      </w:r>
    </w:p>
    <w:p w:rsidR="00A1637A" w:rsidRDefault="00560FC1" w:rsidP="00C200C3">
      <w:pPr>
        <w:spacing w:after="120" w:afterAutospacing="0"/>
        <w:jc w:val="both"/>
        <w:rPr>
          <w:rFonts w:eastAsiaTheme="minorEastAsia"/>
          <w:sz w:val="20"/>
          <w:lang w:val="en-US" w:eastAsia="zh-CN"/>
        </w:rPr>
      </w:pPr>
      <w:r>
        <w:rPr>
          <w:rFonts w:eastAsiaTheme="minorEastAsia"/>
          <w:sz w:val="20"/>
          <w:lang w:val="en-US" w:eastAsia="zh-CN"/>
        </w:rPr>
        <w:t xml:space="preserve">In order to avoid harmonics interference from frequency domain, it is inevitable to restrict either the UE’s transmission </w:t>
      </w:r>
      <w:r w:rsidR="0026598E">
        <w:rPr>
          <w:rFonts w:eastAsiaTheme="minorEastAsia"/>
          <w:sz w:val="20"/>
          <w:lang w:val="en-US" w:eastAsia="zh-CN"/>
        </w:rPr>
        <w:t xml:space="preserve">on low frequency UL or the UE’s reception on high frequency DL to a limited frequency domain range within the corresponding system bandwidth. </w:t>
      </w:r>
      <w:r w:rsidR="00A1637A">
        <w:rPr>
          <w:rFonts w:eastAsiaTheme="minorEastAsia"/>
          <w:sz w:val="20"/>
          <w:lang w:val="en-US" w:eastAsia="zh-CN"/>
        </w:rPr>
        <w:t>This can be achieved in two ways:</w:t>
      </w:r>
    </w:p>
    <w:p w:rsidR="00A1637A" w:rsidRDefault="00A1637A" w:rsidP="00C70680">
      <w:pPr>
        <w:pStyle w:val="ListParagraph"/>
        <w:numPr>
          <w:ilvl w:val="0"/>
          <w:numId w:val="26"/>
        </w:numPr>
        <w:spacing w:after="0" w:afterAutospacing="0"/>
        <w:ind w:firstLineChars="0"/>
        <w:jc w:val="both"/>
        <w:rPr>
          <w:rFonts w:eastAsiaTheme="minorEastAsia"/>
          <w:lang w:eastAsia="zh-CN"/>
        </w:rPr>
      </w:pPr>
      <w:r>
        <w:rPr>
          <w:rFonts w:eastAsiaTheme="minorEastAsia"/>
          <w:lang w:eastAsia="zh-CN"/>
        </w:rPr>
        <w:t xml:space="preserve">UE is not aware of any frequency domain </w:t>
      </w:r>
      <w:r w:rsidR="009B714B">
        <w:rPr>
          <w:rFonts w:eastAsiaTheme="minorEastAsia"/>
          <w:lang w:eastAsia="zh-CN"/>
        </w:rPr>
        <w:t>restrictions within the full bandwidth except being notified by the dynamic scheduling;</w:t>
      </w:r>
    </w:p>
    <w:p w:rsidR="00C70680" w:rsidRDefault="009B714B" w:rsidP="00C70680">
      <w:pPr>
        <w:pStyle w:val="ListParagraph"/>
        <w:numPr>
          <w:ilvl w:val="0"/>
          <w:numId w:val="26"/>
        </w:numPr>
        <w:spacing w:after="0" w:afterAutospacing="0"/>
        <w:ind w:firstLineChars="0"/>
        <w:jc w:val="both"/>
        <w:rPr>
          <w:rFonts w:eastAsiaTheme="minorEastAsia"/>
          <w:lang w:eastAsia="zh-CN"/>
        </w:rPr>
      </w:pPr>
      <w:r>
        <w:rPr>
          <w:rFonts w:eastAsiaTheme="minorEastAsia"/>
          <w:lang w:eastAsia="zh-CN"/>
        </w:rPr>
        <w:t xml:space="preserve">UE is informed of certain frequency range(s), which serve as the restrictions for UE's transmission and reception. </w:t>
      </w:r>
      <w:r w:rsidR="0068194C">
        <w:rPr>
          <w:rFonts w:eastAsiaTheme="minorEastAsia"/>
          <w:lang w:eastAsia="zh-CN"/>
        </w:rPr>
        <w:t>T</w:t>
      </w:r>
      <w:r>
        <w:rPr>
          <w:rFonts w:eastAsiaTheme="minorEastAsia"/>
          <w:lang w:eastAsia="zh-CN"/>
        </w:rPr>
        <w:t xml:space="preserve">his is supported </w:t>
      </w:r>
      <w:r w:rsidR="0068194C">
        <w:rPr>
          <w:rFonts w:eastAsiaTheme="minorEastAsia"/>
          <w:lang w:eastAsia="zh-CN"/>
        </w:rPr>
        <w:t xml:space="preserve">in NR by </w:t>
      </w:r>
      <w:r w:rsidR="00A77D82" w:rsidRPr="009B714B">
        <w:rPr>
          <w:rFonts w:eastAsiaTheme="minorEastAsia"/>
          <w:lang w:eastAsia="zh-CN"/>
        </w:rPr>
        <w:t>bandwidth part (BWP), which</w:t>
      </w:r>
      <w:r>
        <w:rPr>
          <w:rFonts w:eastAsiaTheme="minorEastAsia"/>
          <w:lang w:eastAsia="zh-CN"/>
        </w:rPr>
        <w:t xml:space="preserve"> can decouple</w:t>
      </w:r>
      <w:r w:rsidR="0026598E" w:rsidRPr="009B714B">
        <w:rPr>
          <w:rFonts w:eastAsiaTheme="minorEastAsia"/>
          <w:lang w:eastAsia="zh-CN"/>
        </w:rPr>
        <w:t xml:space="preserve"> UE’s </w:t>
      </w:r>
      <w:r>
        <w:rPr>
          <w:rFonts w:eastAsiaTheme="minorEastAsia"/>
          <w:lang w:eastAsia="zh-CN"/>
        </w:rPr>
        <w:t xml:space="preserve">Tx/Rx </w:t>
      </w:r>
      <w:r w:rsidR="0026598E" w:rsidRPr="009B714B">
        <w:rPr>
          <w:rFonts w:eastAsiaTheme="minorEastAsia"/>
          <w:lang w:eastAsia="zh-CN"/>
        </w:rPr>
        <w:t xml:space="preserve">bandwidth </w:t>
      </w:r>
      <w:r>
        <w:rPr>
          <w:rFonts w:eastAsiaTheme="minorEastAsia"/>
          <w:lang w:eastAsia="zh-CN"/>
        </w:rPr>
        <w:t>from</w:t>
      </w:r>
      <w:r w:rsidR="00A77D82" w:rsidRPr="009B714B">
        <w:rPr>
          <w:rFonts w:eastAsiaTheme="minorEastAsia"/>
          <w:lang w:eastAsia="zh-CN"/>
        </w:rPr>
        <w:t xml:space="preserve"> </w:t>
      </w:r>
      <w:r>
        <w:rPr>
          <w:rFonts w:eastAsiaTheme="minorEastAsia"/>
          <w:lang w:eastAsia="zh-CN"/>
        </w:rPr>
        <w:t xml:space="preserve">the </w:t>
      </w:r>
      <w:r w:rsidR="00A77D82" w:rsidRPr="009B714B">
        <w:rPr>
          <w:rFonts w:eastAsiaTheme="minorEastAsia"/>
          <w:lang w:eastAsia="zh-CN"/>
        </w:rPr>
        <w:t xml:space="preserve">system bandwidth. </w:t>
      </w:r>
      <w:r w:rsidR="005B4624" w:rsidRPr="009B714B">
        <w:rPr>
          <w:rFonts w:eastAsiaTheme="minorEastAsia"/>
          <w:lang w:eastAsia="zh-CN"/>
        </w:rPr>
        <w:t xml:space="preserve"> </w:t>
      </w:r>
      <w:r w:rsidR="0068194C">
        <w:rPr>
          <w:rFonts w:eastAsiaTheme="minorEastAsia"/>
          <w:lang w:eastAsia="zh-CN"/>
        </w:rPr>
        <w:t xml:space="preserve">This BWP-based method shares the similar principle with method 1b in </w:t>
      </w:r>
      <w:r w:rsidR="00F016D0">
        <w:rPr>
          <w:rFonts w:eastAsiaTheme="minorEastAsia"/>
          <w:lang w:eastAsia="zh-CN"/>
        </w:rPr>
        <w:fldChar w:fldCharType="begin"/>
      </w:r>
      <w:r w:rsidR="0068194C">
        <w:rPr>
          <w:rFonts w:eastAsiaTheme="minorEastAsia"/>
          <w:lang w:eastAsia="zh-CN"/>
        </w:rPr>
        <w:instrText xml:space="preserve"> REF _Ref492471182 \r \h </w:instrText>
      </w:r>
      <w:r w:rsidR="00F016D0">
        <w:rPr>
          <w:rFonts w:eastAsiaTheme="minorEastAsia"/>
          <w:lang w:eastAsia="zh-CN"/>
        </w:rPr>
      </w:r>
      <w:r w:rsidR="00F016D0">
        <w:rPr>
          <w:rFonts w:eastAsiaTheme="minorEastAsia"/>
          <w:lang w:eastAsia="zh-CN"/>
        </w:rPr>
        <w:fldChar w:fldCharType="separate"/>
      </w:r>
      <w:r w:rsidR="0004545B">
        <w:rPr>
          <w:rFonts w:eastAsiaTheme="minorEastAsia"/>
          <w:lang w:eastAsia="zh-CN"/>
        </w:rPr>
        <w:t>[1]</w:t>
      </w:r>
      <w:r w:rsidR="00F016D0">
        <w:rPr>
          <w:rFonts w:eastAsiaTheme="minorEastAsia"/>
          <w:lang w:eastAsia="zh-CN"/>
        </w:rPr>
        <w:fldChar w:fldCharType="end"/>
      </w:r>
      <w:r w:rsidR="0068194C">
        <w:rPr>
          <w:rFonts w:eastAsiaTheme="minorEastAsia"/>
          <w:lang w:eastAsia="zh-CN"/>
        </w:rPr>
        <w:t>.</w:t>
      </w:r>
    </w:p>
    <w:p w:rsidR="0026598E" w:rsidRPr="009B714B" w:rsidRDefault="00C70680" w:rsidP="00C70680">
      <w:pPr>
        <w:pStyle w:val="ListParagraph"/>
        <w:spacing w:before="120" w:after="0" w:afterAutospacing="0"/>
        <w:ind w:firstLineChars="0" w:firstLine="0"/>
        <w:jc w:val="both"/>
        <w:rPr>
          <w:rFonts w:eastAsiaTheme="minorEastAsia"/>
          <w:lang w:eastAsia="zh-CN"/>
        </w:rPr>
      </w:pPr>
      <w:r>
        <w:rPr>
          <w:rFonts w:eastAsiaTheme="minorEastAsia"/>
          <w:lang w:eastAsia="zh-CN"/>
        </w:rPr>
        <w:t xml:space="preserve">As analyzed in </w:t>
      </w:r>
      <w:r w:rsidR="00F016D0">
        <w:rPr>
          <w:rFonts w:eastAsiaTheme="minorEastAsia"/>
          <w:lang w:eastAsia="zh-CN"/>
        </w:rPr>
        <w:fldChar w:fldCharType="begin"/>
      </w:r>
      <w:r>
        <w:rPr>
          <w:rFonts w:eastAsiaTheme="minorEastAsia"/>
          <w:lang w:eastAsia="zh-CN"/>
        </w:rPr>
        <w:instrText xml:space="preserve"> REF _Ref492471182 \r \h </w:instrText>
      </w:r>
      <w:r w:rsidR="00F016D0">
        <w:rPr>
          <w:rFonts w:eastAsiaTheme="minorEastAsia"/>
          <w:lang w:eastAsia="zh-CN"/>
        </w:rPr>
      </w:r>
      <w:r w:rsidR="00F016D0">
        <w:rPr>
          <w:rFonts w:eastAsiaTheme="minorEastAsia"/>
          <w:lang w:eastAsia="zh-CN"/>
        </w:rPr>
        <w:fldChar w:fldCharType="separate"/>
      </w:r>
      <w:r w:rsidR="0004545B">
        <w:rPr>
          <w:rFonts w:eastAsiaTheme="minorEastAsia"/>
          <w:lang w:eastAsia="zh-CN"/>
        </w:rPr>
        <w:t>[1]</w:t>
      </w:r>
      <w:r w:rsidR="00F016D0">
        <w:rPr>
          <w:rFonts w:eastAsiaTheme="minorEastAsia"/>
          <w:lang w:eastAsia="zh-CN"/>
        </w:rPr>
        <w:fldChar w:fldCharType="end"/>
      </w:r>
      <w:r>
        <w:rPr>
          <w:rFonts w:eastAsiaTheme="minorEastAsia"/>
          <w:lang w:eastAsia="zh-CN"/>
        </w:rPr>
        <w:t>, the drawbacks of the first way include the impacts to multi-vendor capability and specification complexity. In contrast, the FDM method based on BWP does not rely on the internal scheduling in eNB/gNB</w:t>
      </w:r>
      <w:r w:rsidR="00EA45CC">
        <w:rPr>
          <w:rFonts w:eastAsiaTheme="minorEastAsia"/>
          <w:lang w:eastAsia="zh-CN"/>
        </w:rPr>
        <w:t>.</w:t>
      </w:r>
      <w:r>
        <w:rPr>
          <w:rFonts w:eastAsiaTheme="minorEastAsia"/>
          <w:lang w:eastAsia="zh-CN"/>
        </w:rPr>
        <w:t xml:space="preserve"> </w:t>
      </w:r>
      <w:r w:rsidR="00EA45CC">
        <w:rPr>
          <w:rFonts w:eastAsiaTheme="minorEastAsia"/>
          <w:lang w:eastAsia="zh-CN"/>
        </w:rPr>
        <w:t xml:space="preserve">As for the specification impacts, </w:t>
      </w:r>
      <w:r>
        <w:rPr>
          <w:rFonts w:eastAsiaTheme="minorEastAsia"/>
          <w:lang w:eastAsia="zh-CN"/>
        </w:rPr>
        <w:t>BWP is already a</w:t>
      </w:r>
      <w:r w:rsidR="007A7CFF">
        <w:rPr>
          <w:rFonts w:eastAsiaTheme="minorEastAsia"/>
          <w:lang w:eastAsia="zh-CN"/>
        </w:rPr>
        <w:t>n agreed</w:t>
      </w:r>
      <w:r>
        <w:rPr>
          <w:rFonts w:eastAsiaTheme="minorEastAsia"/>
          <w:lang w:eastAsia="zh-CN"/>
        </w:rPr>
        <w:t xml:space="preserve"> NR feature. So far </w:t>
      </w:r>
      <w:r w:rsidR="00A77D82" w:rsidRPr="009B714B">
        <w:rPr>
          <w:rFonts w:eastAsiaTheme="minorEastAsia"/>
          <w:lang w:eastAsia="zh-CN"/>
        </w:rPr>
        <w:t>RAN1 reaches the following agreements for BWP:</w:t>
      </w:r>
    </w:p>
    <w:p w:rsidR="00A77D82" w:rsidRDefault="00F016D0" w:rsidP="00C200C3">
      <w:pPr>
        <w:spacing w:after="120" w:afterAutospacing="0"/>
        <w:jc w:val="both"/>
        <w:rPr>
          <w:rFonts w:eastAsiaTheme="minorEastAsia"/>
          <w:sz w:val="20"/>
          <w:lang w:val="en-US" w:eastAsia="zh-CN"/>
        </w:rPr>
      </w:pPr>
      <w:r w:rsidRPr="00F016D0">
        <w:rPr>
          <w:noProof/>
        </w:rPr>
        <w:pict>
          <v:shapetype id="_x0000_t202" coordsize="21600,21600" o:spt="202" path="m,l,21600r21600,l21600,xe">
            <v:stroke joinstyle="miter"/>
            <v:path gradientshapeok="t" o:connecttype="rect"/>
          </v:shapetype>
          <v:shape id="_x0000_s1027" type="#_x0000_t202" style="position:absolute;left:0;text-align:left;margin-left:.65pt;margin-top:8.2pt;width:466.45pt;height:101.45pt;z-index:251658240">
            <v:textbox inset="5.85pt,.7pt,5.85pt,.7pt">
              <w:txbxContent>
                <w:p w:rsidR="00BF7AAF" w:rsidRPr="00A77D82" w:rsidRDefault="00BF7AAF" w:rsidP="00A77D82">
                  <w:pPr>
                    <w:snapToGrid w:val="0"/>
                    <w:spacing w:after="0" w:afterAutospacing="0" w:line="276" w:lineRule="auto"/>
                    <w:rPr>
                      <w:sz w:val="18"/>
                      <w:szCs w:val="18"/>
                      <w:lang w:val="en-US"/>
                    </w:rPr>
                  </w:pPr>
                  <w:r>
                    <w:rPr>
                      <w:sz w:val="18"/>
                      <w:szCs w:val="18"/>
                      <w:lang w:val="en-US"/>
                    </w:rPr>
                    <w:t>Agreement</w:t>
                  </w:r>
                  <w:r w:rsidR="00CC7676">
                    <w:rPr>
                      <w:sz w:val="18"/>
                      <w:szCs w:val="18"/>
                      <w:lang w:val="en-US"/>
                    </w:rPr>
                    <w:t>s</w:t>
                  </w:r>
                  <w:r>
                    <w:rPr>
                      <w:sz w:val="18"/>
                      <w:szCs w:val="18"/>
                      <w:lang w:val="en-US"/>
                    </w:rPr>
                    <w:t xml:space="preserve"> in </w:t>
                  </w:r>
                  <w:r w:rsidRPr="00A77D82">
                    <w:rPr>
                      <w:sz w:val="18"/>
                      <w:szCs w:val="18"/>
                      <w:lang w:val="en-US"/>
                    </w:rPr>
                    <w:t>RAN1 #89</w:t>
                  </w:r>
                  <w:r>
                    <w:rPr>
                      <w:sz w:val="18"/>
                      <w:szCs w:val="18"/>
                      <w:lang w:val="en-US"/>
                    </w:rPr>
                    <w:t>:</w:t>
                  </w:r>
                </w:p>
                <w:p w:rsidR="00BF7AAF" w:rsidRPr="00A77D82" w:rsidRDefault="00BF7AAF" w:rsidP="00A77D82">
                  <w:pPr>
                    <w:numPr>
                      <w:ilvl w:val="0"/>
                      <w:numId w:val="23"/>
                    </w:numPr>
                    <w:snapToGrid w:val="0"/>
                    <w:spacing w:after="0" w:afterAutospacing="0" w:line="276" w:lineRule="auto"/>
                    <w:rPr>
                      <w:rFonts w:eastAsia="MS Mincho"/>
                      <w:sz w:val="18"/>
                      <w:szCs w:val="18"/>
                    </w:rPr>
                  </w:pPr>
                  <w:r w:rsidRPr="00A77D82">
                    <w:rPr>
                      <w:rFonts w:eastAsia="MS Mincho"/>
                      <w:sz w:val="18"/>
                      <w:szCs w:val="18"/>
                    </w:rPr>
                    <w:t>UE expects at least one DL bandwidth part and one UL bandwidth part being active among the set of configured bandwidth parts for a given time instant.</w:t>
                  </w:r>
                </w:p>
                <w:p w:rsidR="00BF7AAF" w:rsidRPr="00A77D82" w:rsidRDefault="00BF7AAF" w:rsidP="00A77D82">
                  <w:pPr>
                    <w:numPr>
                      <w:ilvl w:val="1"/>
                      <w:numId w:val="23"/>
                    </w:numPr>
                    <w:snapToGrid w:val="0"/>
                    <w:spacing w:after="0" w:afterAutospacing="0" w:line="276" w:lineRule="auto"/>
                    <w:ind w:left="720" w:hanging="330"/>
                    <w:rPr>
                      <w:rFonts w:eastAsia="MS Mincho"/>
                      <w:sz w:val="18"/>
                      <w:szCs w:val="18"/>
                    </w:rPr>
                  </w:pPr>
                  <w:r w:rsidRPr="00A77D82">
                    <w:rPr>
                      <w:rFonts w:eastAsia="MS Mincho"/>
                      <w:sz w:val="18"/>
                      <w:szCs w:val="18"/>
                    </w:rPr>
                    <w:t>A UE is only assumed to receive/transmit within active DL/UL bandwidth part(s) using the associated numerology</w:t>
                  </w:r>
                </w:p>
                <w:p w:rsidR="00BF7AAF" w:rsidRPr="00A77D82" w:rsidRDefault="00BF7AAF" w:rsidP="00A77D82">
                  <w:pPr>
                    <w:numPr>
                      <w:ilvl w:val="2"/>
                      <w:numId w:val="23"/>
                    </w:numPr>
                    <w:snapToGrid w:val="0"/>
                    <w:spacing w:after="0" w:afterAutospacing="0" w:line="276" w:lineRule="auto"/>
                    <w:rPr>
                      <w:rFonts w:eastAsia="MS Mincho"/>
                      <w:sz w:val="18"/>
                      <w:szCs w:val="18"/>
                    </w:rPr>
                  </w:pPr>
                  <w:r w:rsidRPr="00A77D82">
                    <w:rPr>
                      <w:rFonts w:eastAsia="MS Mincho"/>
                      <w:sz w:val="18"/>
                      <w:szCs w:val="18"/>
                    </w:rPr>
                    <w:t>At least PDSCH and/or PDCCH for DL and PUCCH and/or PUSCH for UL</w:t>
                  </w:r>
                </w:p>
                <w:p w:rsidR="00BF7AAF" w:rsidRPr="00A77D82" w:rsidRDefault="00BF7AAF" w:rsidP="00A77D82">
                  <w:pPr>
                    <w:numPr>
                      <w:ilvl w:val="3"/>
                      <w:numId w:val="23"/>
                    </w:numPr>
                    <w:snapToGrid w:val="0"/>
                    <w:spacing w:after="0" w:afterAutospacing="0" w:line="276" w:lineRule="auto"/>
                    <w:rPr>
                      <w:rFonts w:eastAsia="MS Mincho"/>
                      <w:sz w:val="18"/>
                      <w:szCs w:val="18"/>
                    </w:rPr>
                  </w:pPr>
                  <w:r w:rsidRPr="00A77D82">
                    <w:rPr>
                      <w:rFonts w:eastAsia="MS Mincho"/>
                      <w:sz w:val="18"/>
                      <w:szCs w:val="18"/>
                    </w:rPr>
                    <w:t>FFS: down selection of combinations</w:t>
                  </w:r>
                </w:p>
                <w:p w:rsidR="00BF7AAF" w:rsidRPr="00A77D82" w:rsidRDefault="00BF7AAF" w:rsidP="00A77D82">
                  <w:pPr>
                    <w:numPr>
                      <w:ilvl w:val="0"/>
                      <w:numId w:val="23"/>
                    </w:numPr>
                    <w:snapToGrid w:val="0"/>
                    <w:spacing w:after="0" w:afterAutospacing="0" w:line="276" w:lineRule="auto"/>
                    <w:rPr>
                      <w:rFonts w:eastAsia="MS Mincho"/>
                      <w:sz w:val="18"/>
                      <w:szCs w:val="18"/>
                    </w:rPr>
                  </w:pPr>
                  <w:r w:rsidRPr="00A77D82">
                    <w:rPr>
                      <w:rFonts w:eastAsia="MS Mincho"/>
                      <w:sz w:val="18"/>
                      <w:szCs w:val="18"/>
                    </w:rPr>
                    <w:t>The active DL/UL bandwidth part is not assumed to span a frequency range larger than the DL/UL bandwidth capability of the UE in a component carrier.</w:t>
                  </w:r>
                </w:p>
                <w:p w:rsidR="00BF7AAF" w:rsidRPr="00A77D82" w:rsidRDefault="00BF7AAF"/>
              </w:txbxContent>
            </v:textbox>
          </v:shape>
        </w:pict>
      </w:r>
    </w:p>
    <w:p w:rsidR="00B53D5A" w:rsidRDefault="00B53D5A" w:rsidP="00C200C3">
      <w:pPr>
        <w:spacing w:after="120" w:afterAutospacing="0"/>
        <w:jc w:val="both"/>
        <w:rPr>
          <w:rFonts w:eastAsiaTheme="minorEastAsia"/>
          <w:sz w:val="20"/>
          <w:lang w:val="en-US" w:eastAsia="zh-CN"/>
        </w:rPr>
      </w:pPr>
    </w:p>
    <w:p w:rsidR="00587D7C" w:rsidRPr="00885230" w:rsidRDefault="00560FC1" w:rsidP="00C200C3">
      <w:pPr>
        <w:spacing w:after="120" w:afterAutospacing="0"/>
        <w:jc w:val="both"/>
        <w:rPr>
          <w:rFonts w:eastAsiaTheme="minorEastAsia"/>
          <w:sz w:val="20"/>
          <w:lang w:val="en-US" w:eastAsia="zh-CN"/>
        </w:rPr>
      </w:pPr>
      <w:r>
        <w:rPr>
          <w:rFonts w:eastAsiaTheme="minorEastAsia"/>
          <w:sz w:val="20"/>
          <w:lang w:val="en-US" w:eastAsia="zh-CN"/>
        </w:rPr>
        <w:t xml:space="preserve">  </w:t>
      </w:r>
    </w:p>
    <w:p w:rsidR="00A77D82" w:rsidRDefault="00A77D82" w:rsidP="00C200C3">
      <w:pPr>
        <w:spacing w:after="120" w:afterAutospacing="0"/>
        <w:jc w:val="both"/>
        <w:rPr>
          <w:rFonts w:eastAsiaTheme="minorEastAsia"/>
          <w:i/>
          <w:szCs w:val="21"/>
          <w:u w:val="single"/>
          <w:lang w:val="en-US" w:eastAsia="zh-CN"/>
        </w:rPr>
      </w:pPr>
    </w:p>
    <w:p w:rsidR="00A77D82" w:rsidRDefault="00A77D82" w:rsidP="00C200C3">
      <w:pPr>
        <w:spacing w:after="120" w:afterAutospacing="0"/>
        <w:jc w:val="both"/>
        <w:rPr>
          <w:rFonts w:eastAsiaTheme="minorEastAsia"/>
          <w:i/>
          <w:szCs w:val="21"/>
          <w:u w:val="single"/>
          <w:lang w:val="en-US" w:eastAsia="zh-CN"/>
        </w:rPr>
      </w:pPr>
    </w:p>
    <w:p w:rsidR="00BF7AAF" w:rsidRDefault="00F016D0" w:rsidP="00C200C3">
      <w:pPr>
        <w:spacing w:after="120" w:afterAutospacing="0"/>
        <w:jc w:val="both"/>
        <w:rPr>
          <w:rFonts w:eastAsiaTheme="minorEastAsia"/>
          <w:i/>
          <w:szCs w:val="21"/>
          <w:u w:val="single"/>
          <w:lang w:val="en-US" w:eastAsia="zh-CN"/>
        </w:rPr>
      </w:pPr>
      <w:r>
        <w:rPr>
          <w:rFonts w:eastAsiaTheme="minorEastAsia"/>
          <w:i/>
          <w:noProof/>
          <w:szCs w:val="21"/>
          <w:u w:val="single"/>
          <w:lang w:val="en-US" w:eastAsia="zh-CN"/>
        </w:rPr>
        <w:lastRenderedPageBreak/>
        <w:pict>
          <v:shape id="_x0000_s1028" type="#_x0000_t202" style="position:absolute;left:0;text-align:left;margin-left:0;margin-top:-5pt;width:466.45pt;height:118.35pt;z-index:251659264">
            <v:textbox inset="5.85pt,.7pt,5.85pt,.7pt">
              <w:txbxContent>
                <w:p w:rsidR="00BF7AAF" w:rsidRPr="00BF7AAF" w:rsidRDefault="00BF7AAF" w:rsidP="00BF7AAF">
                  <w:pPr>
                    <w:snapToGrid w:val="0"/>
                    <w:spacing w:after="0" w:afterAutospacing="0" w:line="276" w:lineRule="auto"/>
                    <w:rPr>
                      <w:sz w:val="18"/>
                      <w:szCs w:val="18"/>
                      <w:lang w:val="en-US"/>
                    </w:rPr>
                  </w:pPr>
                  <w:r w:rsidRPr="00BF7AAF">
                    <w:rPr>
                      <w:sz w:val="18"/>
                      <w:szCs w:val="18"/>
                      <w:lang w:val="en-US"/>
                    </w:rPr>
                    <w:t>Agreements in RAN1 NR#2:</w:t>
                  </w:r>
                </w:p>
                <w:p w:rsidR="00BF7AAF" w:rsidRPr="00BF7AAF" w:rsidRDefault="00BF7AAF" w:rsidP="00BF7AAF">
                  <w:pPr>
                    <w:pStyle w:val="ListParagraph"/>
                    <w:numPr>
                      <w:ilvl w:val="0"/>
                      <w:numId w:val="24"/>
                    </w:numPr>
                    <w:overflowPunct w:val="0"/>
                    <w:autoSpaceDE w:val="0"/>
                    <w:autoSpaceDN w:val="0"/>
                    <w:adjustRightInd w:val="0"/>
                    <w:snapToGrid w:val="0"/>
                    <w:spacing w:after="0" w:afterAutospacing="0" w:line="276" w:lineRule="auto"/>
                    <w:ind w:firstLineChars="0"/>
                    <w:textAlignment w:val="baseline"/>
                    <w:rPr>
                      <w:rFonts w:eastAsia="MS Mincho"/>
                      <w:sz w:val="18"/>
                      <w:szCs w:val="18"/>
                    </w:rPr>
                  </w:pPr>
                  <w:r w:rsidRPr="00BF7AAF">
                    <w:rPr>
                      <w:rFonts w:eastAsia="MS Mincho" w:hint="eastAsia"/>
                      <w:sz w:val="18"/>
                      <w:szCs w:val="18"/>
                    </w:rPr>
                    <w:t>For FDD, s</w:t>
                  </w:r>
                  <w:r w:rsidRPr="00BF7AAF">
                    <w:rPr>
                      <w:rFonts w:eastAsia="MS Mincho"/>
                      <w:sz w:val="18"/>
                      <w:szCs w:val="18"/>
                    </w:rPr>
                    <w:t xml:space="preserve">eparate sets of bandwidth part </w:t>
                  </w:r>
                  <w:r w:rsidRPr="00BF7AAF">
                    <w:rPr>
                      <w:rFonts w:eastAsia="MS Mincho" w:hint="eastAsia"/>
                      <w:sz w:val="18"/>
                      <w:szCs w:val="18"/>
                    </w:rPr>
                    <w:t xml:space="preserve">(BWP) </w:t>
                  </w:r>
                  <w:r w:rsidRPr="00BF7AAF">
                    <w:rPr>
                      <w:rFonts w:eastAsia="MS Mincho"/>
                      <w:sz w:val="18"/>
                      <w:szCs w:val="18"/>
                    </w:rPr>
                    <w:t>configurations for DL &amp; UL per component carrier</w:t>
                  </w:r>
                </w:p>
                <w:p w:rsidR="00BF7AAF" w:rsidRPr="00BF7AAF" w:rsidRDefault="00BF7AAF" w:rsidP="00BF7AAF">
                  <w:pPr>
                    <w:pStyle w:val="ListParagraph"/>
                    <w:numPr>
                      <w:ilvl w:val="1"/>
                      <w:numId w:val="24"/>
                    </w:numPr>
                    <w:overflowPunct w:val="0"/>
                    <w:autoSpaceDE w:val="0"/>
                    <w:autoSpaceDN w:val="0"/>
                    <w:adjustRightInd w:val="0"/>
                    <w:snapToGrid w:val="0"/>
                    <w:spacing w:after="0" w:afterAutospacing="0" w:line="276" w:lineRule="auto"/>
                    <w:ind w:left="900" w:firstLineChars="0"/>
                    <w:textAlignment w:val="baseline"/>
                    <w:rPr>
                      <w:rFonts w:eastAsia="MS Mincho"/>
                      <w:sz w:val="18"/>
                      <w:szCs w:val="18"/>
                    </w:rPr>
                  </w:pPr>
                  <w:r w:rsidRPr="00BF7AAF">
                    <w:rPr>
                      <w:rFonts w:eastAsia="MS Mincho"/>
                      <w:sz w:val="18"/>
                      <w:szCs w:val="18"/>
                    </w:rPr>
                    <w:t>The numerology of DL BWP configuration is applied to at least PDCCH, PDSCH &amp; corresponding DMRS</w:t>
                  </w:r>
                </w:p>
                <w:p w:rsidR="00BF7AAF" w:rsidRPr="00BF7AAF" w:rsidRDefault="00BF7AAF" w:rsidP="00BF7AAF">
                  <w:pPr>
                    <w:pStyle w:val="ListParagraph"/>
                    <w:numPr>
                      <w:ilvl w:val="1"/>
                      <w:numId w:val="24"/>
                    </w:numPr>
                    <w:overflowPunct w:val="0"/>
                    <w:autoSpaceDE w:val="0"/>
                    <w:autoSpaceDN w:val="0"/>
                    <w:adjustRightInd w:val="0"/>
                    <w:snapToGrid w:val="0"/>
                    <w:spacing w:after="0" w:afterAutospacing="0" w:line="276" w:lineRule="auto"/>
                    <w:ind w:left="900" w:firstLineChars="0"/>
                    <w:textAlignment w:val="baseline"/>
                    <w:rPr>
                      <w:rFonts w:eastAsia="MS Mincho"/>
                      <w:sz w:val="18"/>
                      <w:szCs w:val="18"/>
                    </w:rPr>
                  </w:pPr>
                  <w:r w:rsidRPr="00BF7AAF">
                    <w:rPr>
                      <w:rFonts w:eastAsia="MS Mincho"/>
                      <w:sz w:val="18"/>
                      <w:szCs w:val="18"/>
                    </w:rPr>
                    <w:t>The numerology of UL BWP configuration is applied to at least PUCCH, PUSCH &amp; corresponding DMRS</w:t>
                  </w:r>
                </w:p>
                <w:p w:rsidR="00BF7AAF" w:rsidRPr="00BF7AAF" w:rsidRDefault="00BF7AAF" w:rsidP="00BF7AAF">
                  <w:pPr>
                    <w:pStyle w:val="ListParagraph"/>
                    <w:numPr>
                      <w:ilvl w:val="0"/>
                      <w:numId w:val="24"/>
                    </w:numPr>
                    <w:overflowPunct w:val="0"/>
                    <w:autoSpaceDE w:val="0"/>
                    <w:autoSpaceDN w:val="0"/>
                    <w:adjustRightInd w:val="0"/>
                    <w:snapToGrid w:val="0"/>
                    <w:spacing w:after="0" w:afterAutospacing="0" w:line="276" w:lineRule="auto"/>
                    <w:ind w:firstLineChars="0"/>
                    <w:textAlignment w:val="baseline"/>
                    <w:rPr>
                      <w:rFonts w:eastAsia="MS Mincho"/>
                      <w:sz w:val="18"/>
                      <w:szCs w:val="18"/>
                    </w:rPr>
                  </w:pPr>
                  <w:r w:rsidRPr="00BF7AAF">
                    <w:rPr>
                      <w:rFonts w:eastAsia="MS Mincho" w:hint="eastAsia"/>
                      <w:sz w:val="18"/>
                      <w:szCs w:val="18"/>
                    </w:rPr>
                    <w:t>For TDD, s</w:t>
                  </w:r>
                  <w:r w:rsidRPr="00BF7AAF">
                    <w:rPr>
                      <w:rFonts w:eastAsia="MS Mincho"/>
                      <w:sz w:val="18"/>
                      <w:szCs w:val="18"/>
                    </w:rPr>
                    <w:t xml:space="preserve">eparate sets of </w:t>
                  </w:r>
                  <w:r w:rsidRPr="00BF7AAF">
                    <w:rPr>
                      <w:rFonts w:eastAsia="MS Mincho" w:hint="eastAsia"/>
                      <w:sz w:val="18"/>
                      <w:szCs w:val="18"/>
                    </w:rPr>
                    <w:t>BWP</w:t>
                  </w:r>
                  <w:r w:rsidRPr="00BF7AAF">
                    <w:rPr>
                      <w:rFonts w:eastAsia="MS Mincho"/>
                      <w:sz w:val="18"/>
                      <w:szCs w:val="18"/>
                    </w:rPr>
                    <w:t xml:space="preserve"> configurations for DL &amp; UL per component carrier</w:t>
                  </w:r>
                </w:p>
                <w:p w:rsidR="00BF7AAF" w:rsidRPr="00BF7AAF" w:rsidRDefault="00BF7AAF" w:rsidP="00BF7AAF">
                  <w:pPr>
                    <w:pStyle w:val="ListParagraph"/>
                    <w:numPr>
                      <w:ilvl w:val="1"/>
                      <w:numId w:val="24"/>
                    </w:numPr>
                    <w:overflowPunct w:val="0"/>
                    <w:autoSpaceDE w:val="0"/>
                    <w:autoSpaceDN w:val="0"/>
                    <w:adjustRightInd w:val="0"/>
                    <w:snapToGrid w:val="0"/>
                    <w:spacing w:after="0" w:afterAutospacing="0" w:line="276" w:lineRule="auto"/>
                    <w:ind w:left="900" w:firstLineChars="0"/>
                    <w:textAlignment w:val="baseline"/>
                    <w:rPr>
                      <w:rFonts w:eastAsia="MS Mincho"/>
                      <w:sz w:val="18"/>
                      <w:szCs w:val="18"/>
                    </w:rPr>
                  </w:pPr>
                  <w:r w:rsidRPr="00BF7AAF">
                    <w:rPr>
                      <w:rFonts w:eastAsia="MS Mincho"/>
                      <w:sz w:val="18"/>
                      <w:szCs w:val="18"/>
                    </w:rPr>
                    <w:t>The numerology of DL BWP configuration is applied to at least PDCCH, PDSCH &amp; corresponding DMRS</w:t>
                  </w:r>
                </w:p>
                <w:p w:rsidR="00BF7AAF" w:rsidRPr="00BF7AAF" w:rsidRDefault="00BF7AAF" w:rsidP="00BF7AAF">
                  <w:pPr>
                    <w:pStyle w:val="ListParagraph"/>
                    <w:numPr>
                      <w:ilvl w:val="1"/>
                      <w:numId w:val="24"/>
                    </w:numPr>
                    <w:overflowPunct w:val="0"/>
                    <w:autoSpaceDE w:val="0"/>
                    <w:autoSpaceDN w:val="0"/>
                    <w:adjustRightInd w:val="0"/>
                    <w:snapToGrid w:val="0"/>
                    <w:spacing w:after="0" w:afterAutospacing="0" w:line="276" w:lineRule="auto"/>
                    <w:ind w:left="900" w:firstLineChars="0"/>
                    <w:textAlignment w:val="baseline"/>
                    <w:rPr>
                      <w:rFonts w:eastAsia="MS Mincho"/>
                      <w:sz w:val="18"/>
                      <w:szCs w:val="18"/>
                    </w:rPr>
                  </w:pPr>
                  <w:r w:rsidRPr="00BF7AAF">
                    <w:rPr>
                      <w:rFonts w:eastAsia="MS Mincho"/>
                      <w:sz w:val="18"/>
                      <w:szCs w:val="18"/>
                    </w:rPr>
                    <w:t>The numerology of UL BWP configuration is applied to at least PUCCH, PUSCH &amp; corresponding DMRS</w:t>
                  </w:r>
                </w:p>
                <w:p w:rsidR="00BF7AAF" w:rsidRPr="00BF7AAF" w:rsidRDefault="00BF7AAF" w:rsidP="00BF7AAF">
                  <w:pPr>
                    <w:pStyle w:val="ListParagraph"/>
                    <w:numPr>
                      <w:ilvl w:val="1"/>
                      <w:numId w:val="24"/>
                    </w:numPr>
                    <w:overflowPunct w:val="0"/>
                    <w:autoSpaceDE w:val="0"/>
                    <w:autoSpaceDN w:val="0"/>
                    <w:adjustRightInd w:val="0"/>
                    <w:snapToGrid w:val="0"/>
                    <w:spacing w:after="0" w:afterAutospacing="0" w:line="276" w:lineRule="auto"/>
                    <w:ind w:left="900" w:firstLineChars="0"/>
                    <w:textAlignment w:val="baseline"/>
                    <w:rPr>
                      <w:rFonts w:eastAsia="MS Mincho"/>
                    </w:rPr>
                  </w:pPr>
                  <w:r w:rsidRPr="00BF7AAF">
                    <w:rPr>
                      <w:rFonts w:eastAsia="MS Mincho" w:hint="eastAsia"/>
                      <w:sz w:val="18"/>
                      <w:szCs w:val="18"/>
                    </w:rPr>
                    <w:t>For UE, if different active DL and UL BWPs are configured, UE is not expected to retune the</w:t>
                  </w:r>
                  <w:r w:rsidRPr="00BF7AAF">
                    <w:rPr>
                      <w:rFonts w:eastAsia="MS Mincho" w:hint="eastAsia"/>
                    </w:rPr>
                    <w:t xml:space="preserve"> center frequency of channel BW between DL and UL</w:t>
                  </w:r>
                </w:p>
                <w:p w:rsidR="00BF7AAF" w:rsidRPr="00BF7AAF" w:rsidRDefault="00BF7AAF">
                  <w:pPr>
                    <w:rPr>
                      <w:lang w:val="en-US"/>
                    </w:rPr>
                  </w:pPr>
                </w:p>
              </w:txbxContent>
            </v:textbox>
          </v:shape>
        </w:pict>
      </w:r>
    </w:p>
    <w:p w:rsidR="00BF7AAF" w:rsidRDefault="00BF7AAF" w:rsidP="00C200C3">
      <w:pPr>
        <w:spacing w:after="120" w:afterAutospacing="0"/>
        <w:jc w:val="both"/>
        <w:rPr>
          <w:rFonts w:eastAsiaTheme="minorEastAsia"/>
          <w:i/>
          <w:szCs w:val="21"/>
          <w:u w:val="single"/>
          <w:lang w:val="en-US" w:eastAsia="zh-CN"/>
        </w:rPr>
      </w:pPr>
    </w:p>
    <w:p w:rsidR="00BF7AAF" w:rsidRDefault="00BF7AAF" w:rsidP="00C200C3">
      <w:pPr>
        <w:spacing w:after="120" w:afterAutospacing="0"/>
        <w:jc w:val="both"/>
        <w:rPr>
          <w:rFonts w:eastAsiaTheme="minorEastAsia"/>
          <w:i/>
          <w:szCs w:val="21"/>
          <w:u w:val="single"/>
          <w:lang w:val="en-US" w:eastAsia="zh-CN"/>
        </w:rPr>
      </w:pPr>
    </w:p>
    <w:p w:rsidR="00BF7AAF" w:rsidRDefault="00BF7AAF" w:rsidP="00C200C3">
      <w:pPr>
        <w:spacing w:after="120" w:afterAutospacing="0"/>
        <w:jc w:val="both"/>
        <w:rPr>
          <w:rFonts w:eastAsiaTheme="minorEastAsia"/>
          <w:i/>
          <w:szCs w:val="21"/>
          <w:u w:val="single"/>
          <w:lang w:val="en-US" w:eastAsia="zh-CN"/>
        </w:rPr>
      </w:pPr>
    </w:p>
    <w:p w:rsidR="00BF7AAF" w:rsidRDefault="00BF7AAF" w:rsidP="00C200C3">
      <w:pPr>
        <w:spacing w:after="120" w:afterAutospacing="0"/>
        <w:jc w:val="both"/>
        <w:rPr>
          <w:rFonts w:eastAsiaTheme="minorEastAsia"/>
          <w:i/>
          <w:szCs w:val="21"/>
          <w:u w:val="single"/>
          <w:lang w:val="en-US" w:eastAsia="zh-CN"/>
        </w:rPr>
      </w:pPr>
    </w:p>
    <w:p w:rsidR="00BF7AAF" w:rsidRDefault="00F016D0" w:rsidP="00C200C3">
      <w:pPr>
        <w:spacing w:after="120" w:afterAutospacing="0"/>
        <w:jc w:val="both"/>
        <w:rPr>
          <w:rFonts w:eastAsiaTheme="minorEastAsia"/>
          <w:i/>
          <w:szCs w:val="21"/>
          <w:u w:val="single"/>
          <w:lang w:val="en-US" w:eastAsia="zh-CN"/>
        </w:rPr>
      </w:pPr>
      <w:r>
        <w:rPr>
          <w:rFonts w:eastAsiaTheme="minorEastAsia"/>
          <w:i/>
          <w:noProof/>
          <w:szCs w:val="21"/>
          <w:u w:val="single"/>
          <w:lang w:val="en-US" w:eastAsia="zh-CN"/>
        </w:rPr>
        <w:pict>
          <v:shape id="_x0000_s1029" type="#_x0000_t202" style="position:absolute;left:0;text-align:left;margin-left:0;margin-top:13.45pt;width:466.45pt;height:66.95pt;z-index:251660288">
            <v:textbox inset="5.85pt,.7pt,5.85pt,.7pt">
              <w:txbxContent>
                <w:p w:rsidR="000B648F" w:rsidRPr="000B648F" w:rsidRDefault="000B648F" w:rsidP="000B648F">
                  <w:pPr>
                    <w:snapToGrid w:val="0"/>
                    <w:spacing w:after="0" w:afterAutospacing="0" w:line="276" w:lineRule="auto"/>
                    <w:rPr>
                      <w:sz w:val="18"/>
                      <w:szCs w:val="18"/>
                      <w:lang w:val="en-US"/>
                    </w:rPr>
                  </w:pPr>
                  <w:r w:rsidRPr="000B648F">
                    <w:rPr>
                      <w:sz w:val="18"/>
                      <w:szCs w:val="18"/>
                      <w:lang w:val="en-US"/>
                    </w:rPr>
                    <w:t>Agreements in RAN1 NR#2:</w:t>
                  </w:r>
                </w:p>
                <w:p w:rsidR="000B648F" w:rsidRPr="000B648F" w:rsidRDefault="000B648F" w:rsidP="000B648F">
                  <w:pPr>
                    <w:pStyle w:val="ListParagraph"/>
                    <w:numPr>
                      <w:ilvl w:val="0"/>
                      <w:numId w:val="25"/>
                    </w:numPr>
                    <w:overflowPunct w:val="0"/>
                    <w:autoSpaceDE w:val="0"/>
                    <w:autoSpaceDN w:val="0"/>
                    <w:adjustRightInd w:val="0"/>
                    <w:snapToGrid w:val="0"/>
                    <w:spacing w:after="0" w:afterAutospacing="0" w:line="276" w:lineRule="auto"/>
                    <w:ind w:firstLineChars="0"/>
                    <w:textAlignment w:val="baseline"/>
                    <w:rPr>
                      <w:rFonts w:eastAsia="MS Mincho"/>
                      <w:sz w:val="18"/>
                      <w:szCs w:val="18"/>
                    </w:rPr>
                  </w:pPr>
                  <w:r w:rsidRPr="000B648F">
                    <w:rPr>
                      <w:rFonts w:eastAsia="MS Mincho"/>
                      <w:sz w:val="18"/>
                      <w:szCs w:val="18"/>
                    </w:rPr>
                    <w:t>At least one of configured DL BWPs includes one CORESET with common search space at least in primary component carrier</w:t>
                  </w:r>
                </w:p>
                <w:p w:rsidR="000B648F" w:rsidRPr="000B648F" w:rsidRDefault="000B648F" w:rsidP="000B648F">
                  <w:pPr>
                    <w:pStyle w:val="ListParagraph"/>
                    <w:numPr>
                      <w:ilvl w:val="0"/>
                      <w:numId w:val="25"/>
                    </w:numPr>
                    <w:overflowPunct w:val="0"/>
                    <w:autoSpaceDE w:val="0"/>
                    <w:autoSpaceDN w:val="0"/>
                    <w:adjustRightInd w:val="0"/>
                    <w:snapToGrid w:val="0"/>
                    <w:spacing w:after="0" w:afterAutospacing="0" w:line="276" w:lineRule="auto"/>
                    <w:ind w:firstLineChars="0"/>
                    <w:textAlignment w:val="baseline"/>
                    <w:rPr>
                      <w:rFonts w:eastAsia="MS Mincho"/>
                      <w:sz w:val="18"/>
                      <w:szCs w:val="18"/>
                    </w:rPr>
                  </w:pPr>
                  <w:r w:rsidRPr="000B648F">
                    <w:rPr>
                      <w:rFonts w:eastAsia="MS Mincho"/>
                      <w:sz w:val="18"/>
                      <w:szCs w:val="18"/>
                    </w:rPr>
                    <w:t xml:space="preserve">Each configured DL BWP includes at least one CORESET with UE-specific search space for the case of single active </w:t>
                  </w:r>
                  <w:r w:rsidRPr="000B648F">
                    <w:rPr>
                      <w:rFonts w:eastAsia="MS Mincho" w:hint="eastAsia"/>
                      <w:sz w:val="18"/>
                      <w:szCs w:val="18"/>
                    </w:rPr>
                    <w:t>BWP</w:t>
                  </w:r>
                  <w:r w:rsidRPr="000B648F">
                    <w:rPr>
                      <w:rFonts w:eastAsia="MS Mincho"/>
                      <w:sz w:val="18"/>
                      <w:szCs w:val="18"/>
                    </w:rPr>
                    <w:t xml:space="preserve"> at a given time</w:t>
                  </w:r>
                </w:p>
                <w:p w:rsidR="000B648F" w:rsidRPr="000B648F" w:rsidRDefault="000B648F">
                  <w:pPr>
                    <w:rPr>
                      <w:lang w:val="en-US"/>
                    </w:rPr>
                  </w:pPr>
                </w:p>
              </w:txbxContent>
            </v:textbox>
          </v:shape>
        </w:pict>
      </w:r>
    </w:p>
    <w:p w:rsidR="000B648F" w:rsidRDefault="000B648F" w:rsidP="00EC445C">
      <w:pPr>
        <w:spacing w:after="0" w:afterAutospacing="0"/>
        <w:jc w:val="both"/>
        <w:rPr>
          <w:rFonts w:eastAsiaTheme="minorEastAsia"/>
          <w:i/>
          <w:szCs w:val="21"/>
          <w:u w:val="single"/>
          <w:lang w:val="en-US" w:eastAsia="zh-CN"/>
        </w:rPr>
      </w:pPr>
    </w:p>
    <w:p w:rsidR="000B648F" w:rsidRDefault="000B648F" w:rsidP="00EC445C">
      <w:pPr>
        <w:spacing w:after="0" w:afterAutospacing="0"/>
        <w:jc w:val="both"/>
        <w:rPr>
          <w:rFonts w:eastAsiaTheme="minorEastAsia"/>
          <w:i/>
          <w:szCs w:val="21"/>
          <w:u w:val="single"/>
          <w:lang w:val="en-US" w:eastAsia="zh-CN"/>
        </w:rPr>
      </w:pPr>
    </w:p>
    <w:p w:rsidR="000B648F" w:rsidRDefault="000B648F" w:rsidP="00EC445C">
      <w:pPr>
        <w:spacing w:after="0" w:afterAutospacing="0"/>
        <w:jc w:val="both"/>
        <w:rPr>
          <w:rFonts w:eastAsiaTheme="minorEastAsia"/>
          <w:i/>
          <w:szCs w:val="21"/>
          <w:u w:val="single"/>
          <w:lang w:val="en-US" w:eastAsia="zh-CN"/>
        </w:rPr>
      </w:pPr>
    </w:p>
    <w:p w:rsidR="000B648F" w:rsidRDefault="000B648F" w:rsidP="00EC445C">
      <w:pPr>
        <w:spacing w:after="0" w:afterAutospacing="0"/>
        <w:jc w:val="both"/>
        <w:rPr>
          <w:rFonts w:eastAsiaTheme="minorEastAsia"/>
          <w:i/>
          <w:szCs w:val="21"/>
          <w:u w:val="single"/>
          <w:lang w:val="en-US" w:eastAsia="zh-CN"/>
        </w:rPr>
      </w:pPr>
    </w:p>
    <w:p w:rsidR="00EC445C" w:rsidRPr="00EC445C" w:rsidRDefault="00F016D0" w:rsidP="00EC445C">
      <w:pPr>
        <w:spacing w:after="0" w:afterAutospacing="0"/>
        <w:jc w:val="both"/>
        <w:rPr>
          <w:rFonts w:eastAsiaTheme="minorEastAsia"/>
          <w:szCs w:val="21"/>
          <w:lang w:val="en-US" w:eastAsia="zh-CN"/>
        </w:rPr>
      </w:pPr>
      <w:r w:rsidRPr="00F016D0">
        <w:rPr>
          <w:rFonts w:eastAsiaTheme="minorEastAsia"/>
          <w:noProof/>
          <w:sz w:val="20"/>
          <w:lang w:val="en-US" w:eastAsia="zh-CN"/>
        </w:rPr>
        <w:pict>
          <v:shape id="_x0000_s1033" type="#_x0000_t202" style="position:absolute;left:0;text-align:left;margin-left:0;margin-top:3.95pt;width:466.45pt;height:95.2pt;z-index:251662336">
            <v:textbox inset="5.85pt,.7pt,5.85pt,.7pt">
              <w:txbxContent>
                <w:p w:rsidR="00600651" w:rsidRPr="00600651" w:rsidRDefault="00600651" w:rsidP="00600651">
                  <w:pPr>
                    <w:snapToGrid w:val="0"/>
                    <w:spacing w:after="0" w:afterAutospacing="0"/>
                    <w:rPr>
                      <w:sz w:val="18"/>
                      <w:szCs w:val="18"/>
                      <w:lang w:val="en-US"/>
                    </w:rPr>
                  </w:pPr>
                  <w:r w:rsidRPr="00600651">
                    <w:rPr>
                      <w:sz w:val="18"/>
                      <w:szCs w:val="18"/>
                      <w:lang w:val="en-US"/>
                    </w:rPr>
                    <w:t xml:space="preserve">Agreements in RAN1 NR#2: </w:t>
                  </w:r>
                </w:p>
                <w:p w:rsidR="00600651" w:rsidRPr="00600651" w:rsidRDefault="00600651" w:rsidP="00600651">
                  <w:pPr>
                    <w:pStyle w:val="ListParagraph"/>
                    <w:numPr>
                      <w:ilvl w:val="0"/>
                      <w:numId w:val="29"/>
                    </w:numPr>
                    <w:overflowPunct w:val="0"/>
                    <w:autoSpaceDE w:val="0"/>
                    <w:autoSpaceDN w:val="0"/>
                    <w:adjustRightInd w:val="0"/>
                    <w:snapToGrid w:val="0"/>
                    <w:spacing w:after="0" w:afterAutospacing="0"/>
                    <w:ind w:firstLineChars="0"/>
                    <w:textAlignment w:val="baseline"/>
                    <w:rPr>
                      <w:rFonts w:eastAsia="MS Mincho"/>
                      <w:sz w:val="18"/>
                      <w:szCs w:val="18"/>
                    </w:rPr>
                  </w:pPr>
                  <w:r w:rsidRPr="00600651">
                    <w:rPr>
                      <w:rFonts w:eastAsia="MS Mincho"/>
                      <w:iCs/>
                      <w:sz w:val="18"/>
                      <w:szCs w:val="18"/>
                    </w:rPr>
                    <w:t>Activation/deactivation of DL and UL bandwidth parts can be</w:t>
                  </w:r>
                </w:p>
                <w:p w:rsidR="00600651" w:rsidRPr="00600651" w:rsidRDefault="00600651" w:rsidP="00600651">
                  <w:pPr>
                    <w:pStyle w:val="ListParagraph"/>
                    <w:numPr>
                      <w:ilvl w:val="1"/>
                      <w:numId w:val="29"/>
                    </w:numPr>
                    <w:overflowPunct w:val="0"/>
                    <w:autoSpaceDE w:val="0"/>
                    <w:autoSpaceDN w:val="0"/>
                    <w:adjustRightInd w:val="0"/>
                    <w:snapToGrid w:val="0"/>
                    <w:spacing w:after="0" w:afterAutospacing="0"/>
                    <w:ind w:firstLineChars="0"/>
                    <w:textAlignment w:val="baseline"/>
                    <w:rPr>
                      <w:rFonts w:eastAsia="MS Mincho"/>
                      <w:sz w:val="18"/>
                      <w:szCs w:val="18"/>
                    </w:rPr>
                  </w:pPr>
                  <w:r w:rsidRPr="00600651">
                    <w:rPr>
                      <w:rFonts w:eastAsia="MS Mincho"/>
                      <w:iCs/>
                      <w:sz w:val="18"/>
                      <w:szCs w:val="18"/>
                    </w:rPr>
                    <w:t xml:space="preserve">by means of dedicated RRC signaling </w:t>
                  </w:r>
                </w:p>
                <w:p w:rsidR="00600651" w:rsidRPr="00600651" w:rsidRDefault="00600651" w:rsidP="00600651">
                  <w:pPr>
                    <w:pStyle w:val="ListParagraph"/>
                    <w:numPr>
                      <w:ilvl w:val="2"/>
                      <w:numId w:val="29"/>
                    </w:numPr>
                    <w:overflowPunct w:val="0"/>
                    <w:autoSpaceDE w:val="0"/>
                    <w:autoSpaceDN w:val="0"/>
                    <w:adjustRightInd w:val="0"/>
                    <w:snapToGrid w:val="0"/>
                    <w:spacing w:after="0" w:afterAutospacing="0"/>
                    <w:ind w:firstLineChars="0"/>
                    <w:textAlignment w:val="baseline"/>
                    <w:rPr>
                      <w:rFonts w:eastAsia="MS Mincho"/>
                      <w:sz w:val="18"/>
                      <w:szCs w:val="18"/>
                    </w:rPr>
                  </w:pPr>
                  <w:r w:rsidRPr="00600651">
                    <w:rPr>
                      <w:rFonts w:eastAsia="MS Mincho"/>
                      <w:iCs/>
                      <w:sz w:val="18"/>
                      <w:szCs w:val="18"/>
                    </w:rPr>
                    <w:t>Possibility to activate in the bandwidth part configuration</w:t>
                  </w:r>
                </w:p>
                <w:p w:rsidR="00600651" w:rsidRPr="00600651" w:rsidRDefault="00600651" w:rsidP="00600651">
                  <w:pPr>
                    <w:pStyle w:val="ListParagraph"/>
                    <w:numPr>
                      <w:ilvl w:val="1"/>
                      <w:numId w:val="29"/>
                    </w:numPr>
                    <w:overflowPunct w:val="0"/>
                    <w:autoSpaceDE w:val="0"/>
                    <w:autoSpaceDN w:val="0"/>
                    <w:adjustRightInd w:val="0"/>
                    <w:snapToGrid w:val="0"/>
                    <w:spacing w:after="0" w:afterAutospacing="0"/>
                    <w:ind w:firstLineChars="0"/>
                    <w:textAlignment w:val="baseline"/>
                    <w:rPr>
                      <w:rFonts w:eastAsia="MS Mincho"/>
                      <w:sz w:val="18"/>
                      <w:szCs w:val="18"/>
                    </w:rPr>
                  </w:pPr>
                  <w:r w:rsidRPr="00600651">
                    <w:rPr>
                      <w:rFonts w:eastAsia="MS Mincho"/>
                      <w:iCs/>
                      <w:sz w:val="18"/>
                      <w:szCs w:val="18"/>
                    </w:rPr>
                    <w:t>by means of DCI (explicitly and/or implicitly) or MAC CE [one to be selected]</w:t>
                  </w:r>
                </w:p>
                <w:p w:rsidR="00600651" w:rsidRPr="00600651" w:rsidRDefault="00600651" w:rsidP="00600651">
                  <w:pPr>
                    <w:snapToGrid w:val="0"/>
                    <w:spacing w:before="120" w:after="0" w:afterAutospacing="0"/>
                    <w:rPr>
                      <w:sz w:val="18"/>
                      <w:szCs w:val="18"/>
                      <w:lang w:val="en-US"/>
                    </w:rPr>
                  </w:pPr>
                  <w:r w:rsidRPr="00600651">
                    <w:rPr>
                      <w:sz w:val="18"/>
                      <w:szCs w:val="18"/>
                      <w:lang w:val="en-US"/>
                    </w:rPr>
                    <w:t>Agreements in RAN1 #90</w:t>
                  </w:r>
                </w:p>
                <w:p w:rsidR="00600651" w:rsidRPr="00600651" w:rsidRDefault="00600651" w:rsidP="00600651">
                  <w:pPr>
                    <w:numPr>
                      <w:ilvl w:val="0"/>
                      <w:numId w:val="28"/>
                    </w:numPr>
                    <w:tabs>
                      <w:tab w:val="left" w:pos="1440"/>
                    </w:tabs>
                    <w:snapToGrid w:val="0"/>
                    <w:spacing w:after="0" w:afterAutospacing="0"/>
                    <w:rPr>
                      <w:rFonts w:eastAsia="MS Mincho"/>
                      <w:iCs/>
                      <w:sz w:val="18"/>
                      <w:szCs w:val="18"/>
                      <w:lang w:val="en-US"/>
                    </w:rPr>
                  </w:pPr>
                  <w:r w:rsidRPr="00600651">
                    <w:rPr>
                      <w:rFonts w:eastAsia="MS Mincho"/>
                      <w:iCs/>
                      <w:sz w:val="18"/>
                      <w:szCs w:val="18"/>
                      <w:lang w:val="en-US"/>
                    </w:rPr>
                    <w:t xml:space="preserve">Support activation/deactivation of DL and UL bandwidth part by explicit indication at least in </w:t>
                  </w:r>
                  <w:r w:rsidRPr="00600651">
                    <w:rPr>
                      <w:rFonts w:eastAsia="MS Mincho" w:hint="eastAsia"/>
                      <w:iCs/>
                      <w:sz w:val="18"/>
                      <w:szCs w:val="18"/>
                      <w:lang w:val="en-US"/>
                    </w:rPr>
                    <w:t xml:space="preserve">(FFS: </w:t>
                  </w:r>
                  <w:r w:rsidRPr="00600651">
                    <w:rPr>
                      <w:rFonts w:eastAsia="MS Mincho"/>
                      <w:iCs/>
                      <w:sz w:val="18"/>
                      <w:szCs w:val="18"/>
                      <w:lang w:val="en-US"/>
                    </w:rPr>
                    <w:t>scheduling</w:t>
                  </w:r>
                  <w:r w:rsidRPr="00600651">
                    <w:rPr>
                      <w:rFonts w:eastAsia="MS Mincho" w:hint="eastAsia"/>
                      <w:iCs/>
                      <w:sz w:val="18"/>
                      <w:szCs w:val="18"/>
                      <w:lang w:val="en-US"/>
                    </w:rPr>
                    <w:t>)</w:t>
                  </w:r>
                  <w:r w:rsidRPr="00600651">
                    <w:rPr>
                      <w:rFonts w:eastAsia="MS Mincho"/>
                      <w:iCs/>
                      <w:sz w:val="18"/>
                      <w:szCs w:val="18"/>
                      <w:lang w:val="en-US"/>
                    </w:rPr>
                    <w:t xml:space="preserve"> DCI</w:t>
                  </w:r>
                </w:p>
                <w:p w:rsidR="00600651" w:rsidRPr="00600651" w:rsidRDefault="00600651" w:rsidP="00600651">
                  <w:pPr>
                    <w:numPr>
                      <w:ilvl w:val="1"/>
                      <w:numId w:val="28"/>
                    </w:numPr>
                    <w:tabs>
                      <w:tab w:val="left" w:pos="1440"/>
                    </w:tabs>
                    <w:snapToGrid w:val="0"/>
                    <w:spacing w:after="0" w:afterAutospacing="0"/>
                    <w:rPr>
                      <w:rFonts w:eastAsia="MS Mincho"/>
                      <w:iCs/>
                      <w:sz w:val="18"/>
                      <w:szCs w:val="18"/>
                      <w:lang w:val="en-US"/>
                    </w:rPr>
                  </w:pPr>
                  <w:r w:rsidRPr="00600651">
                    <w:rPr>
                      <w:rFonts w:eastAsia="MS Mincho"/>
                      <w:iCs/>
                      <w:sz w:val="18"/>
                      <w:szCs w:val="18"/>
                      <w:lang w:val="en-US"/>
                    </w:rPr>
                    <w:t>FFS: In addition, MAC CE based approach is supported</w:t>
                  </w:r>
                </w:p>
                <w:p w:rsidR="00600651" w:rsidRPr="00600651" w:rsidRDefault="00600651">
                  <w:pPr>
                    <w:rPr>
                      <w:lang w:val="en-US"/>
                    </w:rPr>
                  </w:pPr>
                </w:p>
              </w:txbxContent>
            </v:textbox>
          </v:shape>
        </w:pict>
      </w:r>
    </w:p>
    <w:p w:rsidR="00600651" w:rsidRDefault="00600651" w:rsidP="00C200C3">
      <w:pPr>
        <w:spacing w:after="120" w:afterAutospacing="0"/>
        <w:jc w:val="both"/>
        <w:rPr>
          <w:rFonts w:eastAsiaTheme="minorEastAsia"/>
          <w:sz w:val="20"/>
          <w:lang w:val="en-US" w:eastAsia="zh-CN"/>
        </w:rPr>
      </w:pPr>
    </w:p>
    <w:p w:rsidR="00600651" w:rsidRDefault="00600651" w:rsidP="00C200C3">
      <w:pPr>
        <w:spacing w:after="120" w:afterAutospacing="0"/>
        <w:jc w:val="both"/>
        <w:rPr>
          <w:rFonts w:eastAsiaTheme="minorEastAsia"/>
          <w:sz w:val="20"/>
          <w:lang w:val="en-US" w:eastAsia="zh-CN"/>
        </w:rPr>
      </w:pPr>
    </w:p>
    <w:p w:rsidR="00600651" w:rsidRDefault="00600651" w:rsidP="00C200C3">
      <w:pPr>
        <w:spacing w:after="120" w:afterAutospacing="0"/>
        <w:jc w:val="both"/>
        <w:rPr>
          <w:rFonts w:eastAsiaTheme="minorEastAsia"/>
          <w:sz w:val="20"/>
          <w:lang w:val="en-US" w:eastAsia="zh-CN"/>
        </w:rPr>
      </w:pPr>
    </w:p>
    <w:p w:rsidR="00600651" w:rsidRDefault="00600651" w:rsidP="00C200C3">
      <w:pPr>
        <w:spacing w:after="120" w:afterAutospacing="0"/>
        <w:jc w:val="both"/>
        <w:rPr>
          <w:rFonts w:eastAsiaTheme="minorEastAsia"/>
          <w:sz w:val="20"/>
          <w:lang w:val="en-US" w:eastAsia="zh-CN"/>
        </w:rPr>
      </w:pPr>
    </w:p>
    <w:p w:rsidR="007A1D15" w:rsidRDefault="008134BB" w:rsidP="00C200C3">
      <w:pPr>
        <w:spacing w:after="120" w:afterAutospacing="0"/>
        <w:jc w:val="both"/>
        <w:rPr>
          <w:rFonts w:eastAsiaTheme="minorEastAsia"/>
          <w:sz w:val="20"/>
          <w:lang w:val="en-US" w:eastAsia="zh-CN"/>
        </w:rPr>
      </w:pPr>
      <w:r>
        <w:rPr>
          <w:rFonts w:eastAsiaTheme="minorEastAsia"/>
          <w:sz w:val="20"/>
          <w:lang w:val="en-US" w:eastAsia="zh-CN"/>
        </w:rPr>
        <w:t>It can be seen that the BWP already support</w:t>
      </w:r>
      <w:r w:rsidR="0068194C">
        <w:rPr>
          <w:rFonts w:eastAsiaTheme="minorEastAsia"/>
          <w:sz w:val="20"/>
          <w:lang w:val="en-US" w:eastAsia="zh-CN"/>
        </w:rPr>
        <w:t>s</w:t>
      </w:r>
      <w:r>
        <w:rPr>
          <w:rFonts w:eastAsiaTheme="minorEastAsia"/>
          <w:sz w:val="20"/>
          <w:lang w:val="en-US" w:eastAsia="zh-CN"/>
        </w:rPr>
        <w:t xml:space="preserve"> to confine the </w:t>
      </w:r>
      <w:r w:rsidR="0068194C">
        <w:rPr>
          <w:rFonts w:eastAsiaTheme="minorEastAsia"/>
          <w:sz w:val="20"/>
          <w:lang w:val="en-US" w:eastAsia="zh-CN"/>
        </w:rPr>
        <w:t>PDSCH/PDCCH</w:t>
      </w:r>
      <w:r w:rsidR="009A0013">
        <w:rPr>
          <w:rFonts w:eastAsiaTheme="minorEastAsia"/>
          <w:sz w:val="20"/>
          <w:lang w:val="en-US" w:eastAsia="zh-CN"/>
        </w:rPr>
        <w:t>(USS)</w:t>
      </w:r>
      <w:r w:rsidR="0068194C">
        <w:rPr>
          <w:rFonts w:eastAsiaTheme="minorEastAsia"/>
          <w:sz w:val="20"/>
          <w:lang w:val="en-US" w:eastAsia="zh-CN"/>
        </w:rPr>
        <w:t xml:space="preserve"> and PUSCH/PUCCH within the separately configurable frequency ranges on DL and UL, respectively. Therefore, for the UE in RRC_CONNECTION state, </w:t>
      </w:r>
      <w:r w:rsidR="009A0013">
        <w:rPr>
          <w:rFonts w:eastAsiaTheme="minorEastAsia"/>
          <w:sz w:val="20"/>
          <w:lang w:val="en-US" w:eastAsia="zh-CN"/>
        </w:rPr>
        <w:t xml:space="preserve">additional RAN1 specification work </w:t>
      </w:r>
      <w:r w:rsidR="007A7CFF">
        <w:rPr>
          <w:rFonts w:eastAsiaTheme="minorEastAsia"/>
          <w:sz w:val="20"/>
          <w:lang w:val="en-US" w:eastAsia="zh-CN"/>
        </w:rPr>
        <w:t>are listed as following</w:t>
      </w:r>
      <w:r w:rsidR="00FD7C2E">
        <w:rPr>
          <w:rFonts w:eastAsiaTheme="minorEastAsia"/>
          <w:sz w:val="20"/>
          <w:lang w:val="en-US" w:eastAsia="zh-CN"/>
        </w:rPr>
        <w:t xml:space="preserve"> to support</w:t>
      </w:r>
      <w:r w:rsidR="009A0013">
        <w:rPr>
          <w:rFonts w:eastAsiaTheme="minorEastAsia"/>
          <w:sz w:val="20"/>
          <w:lang w:val="en-US" w:eastAsia="zh-CN"/>
        </w:rPr>
        <w:t>:</w:t>
      </w:r>
    </w:p>
    <w:p w:rsidR="009A0013" w:rsidRDefault="00EA45CC" w:rsidP="009A0013">
      <w:pPr>
        <w:pStyle w:val="ListParagraph"/>
        <w:numPr>
          <w:ilvl w:val="0"/>
          <w:numId w:val="27"/>
        </w:numPr>
        <w:spacing w:after="120" w:afterAutospacing="0"/>
        <w:ind w:firstLineChars="0"/>
        <w:jc w:val="both"/>
        <w:rPr>
          <w:rFonts w:eastAsiaTheme="minorEastAsia"/>
          <w:lang w:eastAsia="zh-CN"/>
        </w:rPr>
      </w:pPr>
      <w:r>
        <w:rPr>
          <w:rFonts w:eastAsiaTheme="minorEastAsia"/>
          <w:lang w:eastAsia="zh-CN"/>
        </w:rPr>
        <w:t>I</w:t>
      </w:r>
      <w:r w:rsidR="009A0013">
        <w:rPr>
          <w:rFonts w:eastAsiaTheme="minorEastAsia"/>
          <w:lang w:eastAsia="zh-CN"/>
        </w:rPr>
        <w:t xml:space="preserve">nsertions of at least one SS block and one NR-PDCCH common search space in UE's active </w:t>
      </w:r>
      <w:r>
        <w:rPr>
          <w:rFonts w:eastAsiaTheme="minorEastAsia"/>
          <w:lang w:eastAsia="zh-CN"/>
        </w:rPr>
        <w:t>DL BWP</w:t>
      </w:r>
      <w:r w:rsidR="009A0013">
        <w:rPr>
          <w:rFonts w:eastAsiaTheme="minorEastAsia"/>
          <w:lang w:eastAsia="zh-CN"/>
        </w:rPr>
        <w:t>, whose location and size could be varying depending on location/size of UL CC (for LTE and NR) or UL active BWP (for NR only) in lower frequency band</w:t>
      </w:r>
      <w:r w:rsidR="007A7CFF">
        <w:rPr>
          <w:rFonts w:eastAsiaTheme="minorEastAsia"/>
          <w:lang w:eastAsia="zh-CN"/>
        </w:rPr>
        <w:t>, and the order of harmonics to be avoided</w:t>
      </w:r>
      <w:r w:rsidR="009A0013">
        <w:rPr>
          <w:rFonts w:eastAsiaTheme="minorEastAsia"/>
          <w:lang w:eastAsia="zh-CN"/>
        </w:rPr>
        <w:t xml:space="preserve">. </w:t>
      </w:r>
    </w:p>
    <w:p w:rsidR="00EA45CC" w:rsidRDefault="00EA45CC" w:rsidP="009A0013">
      <w:pPr>
        <w:pStyle w:val="ListParagraph"/>
        <w:numPr>
          <w:ilvl w:val="0"/>
          <w:numId w:val="27"/>
        </w:numPr>
        <w:spacing w:after="120" w:afterAutospacing="0"/>
        <w:ind w:firstLineChars="0"/>
        <w:jc w:val="both"/>
        <w:rPr>
          <w:rFonts w:eastAsiaTheme="minorEastAsia"/>
          <w:lang w:eastAsia="zh-CN"/>
        </w:rPr>
      </w:pPr>
      <w:r>
        <w:rPr>
          <w:rFonts w:eastAsiaTheme="minorEastAsia"/>
          <w:lang w:eastAsia="zh-CN"/>
        </w:rPr>
        <w:t>UE's mea</w:t>
      </w:r>
      <w:r w:rsidR="00756610">
        <w:rPr>
          <w:rFonts w:eastAsiaTheme="minorEastAsia"/>
          <w:lang w:eastAsia="zh-CN"/>
        </w:rPr>
        <w:t xml:space="preserve">surement on </w:t>
      </w:r>
      <w:r w:rsidR="00132F33">
        <w:rPr>
          <w:rFonts w:eastAsiaTheme="minorEastAsia"/>
          <w:lang w:eastAsia="zh-CN"/>
        </w:rPr>
        <w:t xml:space="preserve">SS block, </w:t>
      </w:r>
      <w:r w:rsidR="00756610">
        <w:rPr>
          <w:rFonts w:eastAsiaTheme="minorEastAsia"/>
          <w:lang w:eastAsia="zh-CN"/>
        </w:rPr>
        <w:t xml:space="preserve">CSI-RS and </w:t>
      </w:r>
      <w:r>
        <w:rPr>
          <w:rFonts w:eastAsiaTheme="minorEastAsia"/>
          <w:lang w:eastAsia="zh-CN"/>
        </w:rPr>
        <w:t xml:space="preserve">TRS only within the active DL BWP. </w:t>
      </w:r>
    </w:p>
    <w:p w:rsidR="00FD7C2E" w:rsidRDefault="00EA45CC" w:rsidP="009A0013">
      <w:pPr>
        <w:pStyle w:val="ListParagraph"/>
        <w:numPr>
          <w:ilvl w:val="0"/>
          <w:numId w:val="27"/>
        </w:numPr>
        <w:spacing w:after="120" w:afterAutospacing="0"/>
        <w:ind w:firstLineChars="0"/>
        <w:jc w:val="both"/>
        <w:rPr>
          <w:rFonts w:eastAsiaTheme="minorEastAsia"/>
          <w:lang w:eastAsia="zh-CN"/>
        </w:rPr>
      </w:pPr>
      <w:r>
        <w:rPr>
          <w:rFonts w:eastAsiaTheme="minorEastAsia"/>
          <w:lang w:eastAsia="zh-CN"/>
        </w:rPr>
        <w:t>Configured resources within active UL BWP for PRACH and SRS</w:t>
      </w:r>
      <w:r w:rsidR="00FD7C2E">
        <w:rPr>
          <w:rFonts w:eastAsiaTheme="minorEastAsia"/>
          <w:lang w:eastAsia="zh-CN"/>
        </w:rPr>
        <w:t>.</w:t>
      </w:r>
    </w:p>
    <w:p w:rsidR="007A1D15" w:rsidRPr="009A0013" w:rsidRDefault="00FD7C2E" w:rsidP="009A0013">
      <w:pPr>
        <w:pStyle w:val="ListParagraph"/>
        <w:numPr>
          <w:ilvl w:val="0"/>
          <w:numId w:val="27"/>
        </w:numPr>
        <w:spacing w:after="120" w:afterAutospacing="0"/>
        <w:ind w:firstLineChars="0"/>
        <w:jc w:val="both"/>
        <w:rPr>
          <w:rFonts w:eastAsiaTheme="minorEastAsia"/>
          <w:lang w:eastAsia="zh-CN"/>
        </w:rPr>
      </w:pPr>
      <w:r>
        <w:rPr>
          <w:rFonts w:eastAsiaTheme="minorEastAsia"/>
          <w:lang w:eastAsia="zh-CN"/>
        </w:rPr>
        <w:t xml:space="preserve">X2/Xn interface to exchange the activate/deactivate of DL and UL BWPs. </w:t>
      </w:r>
      <w:r w:rsidR="00EA45CC">
        <w:rPr>
          <w:rFonts w:eastAsiaTheme="minorEastAsia"/>
          <w:lang w:eastAsia="zh-CN"/>
        </w:rPr>
        <w:t xml:space="preserve"> </w:t>
      </w:r>
      <w:r w:rsidR="009A0013">
        <w:rPr>
          <w:rFonts w:eastAsiaTheme="minorEastAsia"/>
          <w:lang w:eastAsia="zh-CN"/>
        </w:rPr>
        <w:t xml:space="preserve"> </w:t>
      </w:r>
    </w:p>
    <w:p w:rsidR="00FD7C2E" w:rsidRDefault="007A7CFF" w:rsidP="00C200C3">
      <w:pPr>
        <w:spacing w:after="120" w:afterAutospacing="0"/>
        <w:jc w:val="both"/>
        <w:rPr>
          <w:rFonts w:eastAsiaTheme="minorEastAsia"/>
          <w:sz w:val="20"/>
          <w:lang w:val="en-US" w:eastAsia="zh-CN"/>
        </w:rPr>
      </w:pPr>
      <w:r>
        <w:rPr>
          <w:rFonts w:eastAsiaTheme="minorEastAsia"/>
          <w:sz w:val="20"/>
          <w:lang w:val="en-US" w:eastAsia="zh-CN"/>
        </w:rPr>
        <w:t>The above list also shows the pending work to support NSA DC operation with the LTE as the master connection. On the other hand, if UE opera</w:t>
      </w:r>
      <w:r w:rsidR="00132F33">
        <w:rPr>
          <w:rFonts w:eastAsiaTheme="minorEastAsia"/>
          <w:sz w:val="20"/>
          <w:lang w:val="en-US" w:eastAsia="zh-CN"/>
        </w:rPr>
        <w:t xml:space="preserve">tes in a SA SUL scenario or </w:t>
      </w:r>
      <w:r>
        <w:rPr>
          <w:rFonts w:eastAsiaTheme="minorEastAsia"/>
          <w:sz w:val="20"/>
          <w:lang w:val="en-US" w:eastAsia="zh-CN"/>
        </w:rPr>
        <w:t xml:space="preserve">DC scenario with NR as the master and the UE is in RRC_IDLE, </w:t>
      </w:r>
      <w:r w:rsidR="005D4941">
        <w:rPr>
          <w:rFonts w:eastAsiaTheme="minorEastAsia"/>
          <w:sz w:val="20"/>
          <w:lang w:val="en-US" w:eastAsia="zh-CN"/>
        </w:rPr>
        <w:t>due to</w:t>
      </w:r>
      <w:r w:rsidR="00FD7C2E">
        <w:rPr>
          <w:rFonts w:eastAsiaTheme="minorEastAsia"/>
          <w:sz w:val="20"/>
          <w:lang w:val="en-US" w:eastAsia="zh-CN"/>
        </w:rPr>
        <w:t xml:space="preserve"> the following RAN1 agreement,</w:t>
      </w:r>
      <w:r w:rsidR="005D4941">
        <w:rPr>
          <w:rFonts w:eastAsiaTheme="minorEastAsia"/>
          <w:sz w:val="20"/>
          <w:lang w:val="en-US" w:eastAsia="zh-CN"/>
        </w:rPr>
        <w:t xml:space="preserve"> </w:t>
      </w:r>
    </w:p>
    <w:p w:rsidR="00FD7C2E" w:rsidRDefault="00FD7C2E" w:rsidP="00C200C3">
      <w:pPr>
        <w:spacing w:after="120" w:afterAutospacing="0"/>
        <w:jc w:val="both"/>
        <w:rPr>
          <w:rFonts w:eastAsiaTheme="minorEastAsia"/>
          <w:sz w:val="20"/>
          <w:lang w:val="en-US" w:eastAsia="zh-CN"/>
        </w:rPr>
      </w:pPr>
    </w:p>
    <w:p w:rsidR="00FD7C2E" w:rsidRDefault="00F016D0" w:rsidP="00C200C3">
      <w:pPr>
        <w:spacing w:after="120" w:afterAutospacing="0"/>
        <w:jc w:val="both"/>
        <w:rPr>
          <w:rFonts w:eastAsiaTheme="minorEastAsia"/>
          <w:sz w:val="20"/>
          <w:lang w:val="en-US" w:eastAsia="zh-CN"/>
        </w:rPr>
      </w:pPr>
      <w:r>
        <w:rPr>
          <w:rFonts w:eastAsiaTheme="minorEastAsia"/>
          <w:noProof/>
          <w:sz w:val="20"/>
          <w:lang w:val="en-US" w:eastAsia="zh-CN"/>
        </w:rPr>
        <w:pict>
          <v:shape id="_x0000_s1031" type="#_x0000_t202" style="position:absolute;left:0;text-align:left;margin-left:1.9pt;margin-top:-23.8pt;width:466.45pt;height:128.7pt;z-index:251661312">
            <v:textbox inset="5.85pt,.7pt,5.85pt,.7pt">
              <w:txbxContent>
                <w:p w:rsidR="00FD7C2E" w:rsidRPr="00FD7C2E" w:rsidRDefault="00FD7C2E" w:rsidP="00FD7C2E">
                  <w:pPr>
                    <w:spacing w:after="0" w:afterAutospacing="0"/>
                    <w:rPr>
                      <w:sz w:val="18"/>
                      <w:szCs w:val="18"/>
                      <w:lang w:val="en-US"/>
                    </w:rPr>
                  </w:pPr>
                  <w:r w:rsidRPr="00FD7C2E">
                    <w:rPr>
                      <w:sz w:val="18"/>
                      <w:szCs w:val="18"/>
                      <w:lang w:val="en-US"/>
                    </w:rPr>
                    <w:t>Agreements in RAN1 #90</w:t>
                  </w:r>
                </w:p>
                <w:p w:rsidR="00FD7C2E" w:rsidRPr="00FD7C2E" w:rsidRDefault="00FD7C2E" w:rsidP="005D4941">
                  <w:pPr>
                    <w:numPr>
                      <w:ilvl w:val="0"/>
                      <w:numId w:val="28"/>
                    </w:numPr>
                    <w:tabs>
                      <w:tab w:val="left" w:pos="1440"/>
                    </w:tabs>
                    <w:spacing w:after="0" w:afterAutospacing="0"/>
                    <w:ind w:left="270" w:hanging="270"/>
                    <w:rPr>
                      <w:rFonts w:eastAsia="MS Mincho"/>
                      <w:iCs/>
                      <w:sz w:val="18"/>
                      <w:szCs w:val="18"/>
                      <w:lang w:val="en-US"/>
                    </w:rPr>
                  </w:pPr>
                  <w:r w:rsidRPr="00FD7C2E">
                    <w:rPr>
                      <w:rFonts w:eastAsia="MS Mincho"/>
                      <w:iCs/>
                      <w:sz w:val="18"/>
                      <w:szCs w:val="18"/>
                      <w:lang w:val="en-US"/>
                    </w:rPr>
                    <w:t>There is an initial active DL/UL bandwidth part pair to be valid for a UE until the UE is explicitly (re)configured with bandwidth part(s) during or after RRC connection is established</w:t>
                  </w:r>
                </w:p>
                <w:p w:rsidR="00FD7C2E" w:rsidRPr="00FD7C2E" w:rsidRDefault="00FD7C2E" w:rsidP="005D4941">
                  <w:pPr>
                    <w:numPr>
                      <w:ilvl w:val="1"/>
                      <w:numId w:val="28"/>
                    </w:numPr>
                    <w:tabs>
                      <w:tab w:val="left" w:pos="540"/>
                    </w:tabs>
                    <w:spacing w:after="0" w:afterAutospacing="0"/>
                    <w:ind w:left="540" w:hanging="270"/>
                    <w:rPr>
                      <w:rFonts w:eastAsia="MS Mincho"/>
                      <w:iCs/>
                      <w:sz w:val="18"/>
                      <w:szCs w:val="18"/>
                      <w:lang w:val="en-US"/>
                    </w:rPr>
                  </w:pPr>
                  <w:r w:rsidRPr="00FD7C2E">
                    <w:rPr>
                      <w:rFonts w:eastAsia="MS Mincho"/>
                      <w:iCs/>
                      <w:sz w:val="18"/>
                      <w:szCs w:val="18"/>
                      <w:lang w:val="en-US"/>
                    </w:rPr>
                    <w:t>The initial active DL/UL bandwidth part is confined within the UE minimum bandwidth for the given frequency band</w:t>
                  </w:r>
                </w:p>
                <w:p w:rsidR="00FD7C2E" w:rsidRPr="00FD7C2E" w:rsidRDefault="00FD7C2E" w:rsidP="005D4941">
                  <w:pPr>
                    <w:numPr>
                      <w:ilvl w:val="1"/>
                      <w:numId w:val="28"/>
                    </w:numPr>
                    <w:tabs>
                      <w:tab w:val="left" w:pos="540"/>
                    </w:tabs>
                    <w:spacing w:after="0" w:afterAutospacing="0"/>
                    <w:ind w:left="540" w:hanging="270"/>
                    <w:rPr>
                      <w:rFonts w:eastAsia="MS Mincho"/>
                      <w:iCs/>
                      <w:sz w:val="18"/>
                      <w:szCs w:val="18"/>
                      <w:lang w:val="en-US"/>
                    </w:rPr>
                  </w:pPr>
                  <w:r w:rsidRPr="00FD7C2E">
                    <w:rPr>
                      <w:rFonts w:eastAsia="MS Mincho"/>
                      <w:iCs/>
                      <w:sz w:val="18"/>
                      <w:szCs w:val="18"/>
                      <w:lang w:val="en-US"/>
                    </w:rPr>
                    <w:t>FFS: details of initial active DL/UL bandwidth part are discussed in initial access agenda</w:t>
                  </w:r>
                </w:p>
                <w:p w:rsidR="005D4941" w:rsidRPr="005D4941" w:rsidRDefault="005D4941" w:rsidP="005D4941">
                  <w:pPr>
                    <w:numPr>
                      <w:ilvl w:val="0"/>
                      <w:numId w:val="28"/>
                    </w:numPr>
                    <w:tabs>
                      <w:tab w:val="left" w:pos="1440"/>
                    </w:tabs>
                    <w:spacing w:after="0" w:afterAutospacing="0"/>
                    <w:ind w:left="270" w:hanging="270"/>
                    <w:rPr>
                      <w:rFonts w:eastAsia="MS Mincho"/>
                      <w:iCs/>
                      <w:sz w:val="18"/>
                      <w:szCs w:val="18"/>
                      <w:lang w:val="en-US"/>
                    </w:rPr>
                  </w:pPr>
                  <w:r w:rsidRPr="005D4941">
                    <w:rPr>
                      <w:rFonts w:eastAsia="MS Mincho"/>
                      <w:iCs/>
                      <w:sz w:val="18"/>
                      <w:szCs w:val="18"/>
                      <w:lang w:val="en-US"/>
                    </w:rPr>
                    <w:t>Support activation/deactivation of DL bandwidth part by means of timer for a UE to switch its active DL bandwidth part to a default DL bandwidth part</w:t>
                  </w:r>
                </w:p>
                <w:p w:rsidR="00FD7C2E" w:rsidRPr="005D4941" w:rsidRDefault="005D4941" w:rsidP="005D4941">
                  <w:pPr>
                    <w:numPr>
                      <w:ilvl w:val="1"/>
                      <w:numId w:val="28"/>
                    </w:numPr>
                    <w:tabs>
                      <w:tab w:val="left" w:pos="540"/>
                    </w:tabs>
                    <w:spacing w:after="0" w:afterAutospacing="0"/>
                    <w:ind w:left="540" w:hanging="270"/>
                    <w:rPr>
                      <w:rFonts w:eastAsia="MS Mincho"/>
                      <w:iCs/>
                      <w:sz w:val="18"/>
                      <w:szCs w:val="18"/>
                      <w:lang w:val="en-US"/>
                    </w:rPr>
                  </w:pPr>
                  <w:r w:rsidRPr="005D4941">
                    <w:rPr>
                      <w:rFonts w:eastAsia="MS Mincho"/>
                      <w:iCs/>
                      <w:sz w:val="18"/>
                      <w:szCs w:val="18"/>
                      <w:lang w:val="en-US"/>
                    </w:rPr>
                    <w:t xml:space="preserve">The default DL bandwidth part can be the initial active DL bandwidth part defined above </w:t>
                  </w:r>
                </w:p>
              </w:txbxContent>
            </v:textbox>
          </v:shape>
        </w:pict>
      </w:r>
    </w:p>
    <w:p w:rsidR="00FD7C2E" w:rsidRDefault="00FD7C2E" w:rsidP="00C200C3">
      <w:pPr>
        <w:spacing w:after="120" w:afterAutospacing="0"/>
        <w:jc w:val="both"/>
        <w:rPr>
          <w:rFonts w:eastAsiaTheme="minorEastAsia"/>
          <w:sz w:val="20"/>
          <w:lang w:val="en-US" w:eastAsia="zh-CN"/>
        </w:rPr>
      </w:pPr>
    </w:p>
    <w:p w:rsidR="00FD7C2E" w:rsidRDefault="00FD7C2E" w:rsidP="00C200C3">
      <w:pPr>
        <w:spacing w:after="120" w:afterAutospacing="0"/>
        <w:jc w:val="both"/>
        <w:rPr>
          <w:rFonts w:eastAsiaTheme="minorEastAsia"/>
          <w:sz w:val="20"/>
          <w:lang w:val="en-US" w:eastAsia="zh-CN"/>
        </w:rPr>
      </w:pPr>
    </w:p>
    <w:p w:rsidR="00600651" w:rsidRDefault="00600651" w:rsidP="00C200C3">
      <w:pPr>
        <w:spacing w:after="120" w:afterAutospacing="0"/>
        <w:jc w:val="both"/>
        <w:rPr>
          <w:rFonts w:eastAsiaTheme="minorEastAsia"/>
          <w:sz w:val="20"/>
          <w:lang w:val="en-US" w:eastAsia="zh-CN"/>
        </w:rPr>
      </w:pPr>
    </w:p>
    <w:p w:rsidR="00600651" w:rsidRDefault="00600651" w:rsidP="00C200C3">
      <w:pPr>
        <w:spacing w:after="120" w:afterAutospacing="0"/>
        <w:jc w:val="both"/>
        <w:rPr>
          <w:rFonts w:eastAsiaTheme="minorEastAsia"/>
          <w:sz w:val="20"/>
          <w:lang w:val="en-US" w:eastAsia="zh-CN"/>
        </w:rPr>
      </w:pPr>
    </w:p>
    <w:p w:rsidR="00FD7C2E" w:rsidRDefault="005D4941" w:rsidP="00C200C3">
      <w:pPr>
        <w:spacing w:after="120" w:afterAutospacing="0"/>
        <w:jc w:val="both"/>
        <w:rPr>
          <w:rFonts w:eastAsiaTheme="minorEastAsia"/>
          <w:sz w:val="20"/>
          <w:lang w:val="en-US" w:eastAsia="zh-CN"/>
        </w:rPr>
      </w:pPr>
      <w:r>
        <w:rPr>
          <w:rFonts w:eastAsiaTheme="minorEastAsia"/>
          <w:sz w:val="20"/>
          <w:lang w:val="en-US" w:eastAsia="zh-CN"/>
        </w:rPr>
        <w:lastRenderedPageBreak/>
        <w:t xml:space="preserve">it needs a further study on how to rely on the initial active DL/UL BWP pair to avoid harmonics interference, </w:t>
      </w:r>
      <w:r w:rsidR="00E80544">
        <w:rPr>
          <w:rFonts w:eastAsiaTheme="minorEastAsia"/>
          <w:sz w:val="20"/>
          <w:lang w:val="en-US" w:eastAsia="zh-CN"/>
        </w:rPr>
        <w:t>including whether the different UEs could have the same initial active DL BWP but different initial active UL BWPs</w:t>
      </w:r>
      <w:r w:rsidR="008B1BEE">
        <w:rPr>
          <w:rFonts w:eastAsiaTheme="minorEastAsia"/>
          <w:sz w:val="20"/>
          <w:lang w:val="en-US" w:eastAsia="zh-CN"/>
        </w:rPr>
        <w:t xml:space="preserve"> (for NR) or different UL CCs (for LTE)</w:t>
      </w:r>
      <w:r w:rsidR="00E80544">
        <w:rPr>
          <w:rFonts w:eastAsiaTheme="minorEastAsia"/>
          <w:sz w:val="20"/>
          <w:lang w:val="en-US" w:eastAsia="zh-CN"/>
        </w:rPr>
        <w:t xml:space="preserve">. </w:t>
      </w:r>
      <w:r>
        <w:rPr>
          <w:rFonts w:eastAsiaTheme="minorEastAsia"/>
          <w:sz w:val="20"/>
          <w:lang w:val="en-US" w:eastAsia="zh-CN"/>
        </w:rPr>
        <w:t xml:space="preserve"> </w:t>
      </w:r>
    </w:p>
    <w:p w:rsidR="00407115" w:rsidRPr="00E80544" w:rsidRDefault="00E80544" w:rsidP="00C200C3">
      <w:pPr>
        <w:spacing w:after="120" w:afterAutospacing="0"/>
        <w:jc w:val="both"/>
        <w:rPr>
          <w:rFonts w:eastAsiaTheme="minorEastAsia"/>
          <w:sz w:val="20"/>
          <w:lang w:val="en-US" w:eastAsia="zh-CN"/>
        </w:rPr>
      </w:pPr>
      <w:r>
        <w:rPr>
          <w:rFonts w:eastAsiaTheme="minorEastAsia"/>
          <w:sz w:val="20"/>
          <w:lang w:val="en-US" w:eastAsia="zh-CN"/>
        </w:rPr>
        <w:t xml:space="preserve">Note that the above analysis is based on the assumption that the bandwidth of DL wideband CC on high frequency is much larger than that of UL CC on low frequency so that there are still plenty of residual DL frequency resources available for use after removing "harmonics polluted" RBs from the DL resource pool; otherwise, it is obvious that the FDM-based avoidance is worse than TDM-based.   </w:t>
      </w:r>
    </w:p>
    <w:p w:rsidR="00E40F3D" w:rsidRPr="00587D7C" w:rsidRDefault="00587D7C" w:rsidP="00C200C3">
      <w:pPr>
        <w:spacing w:after="120" w:afterAutospacing="0"/>
        <w:jc w:val="both"/>
        <w:rPr>
          <w:rFonts w:eastAsiaTheme="minorEastAsia"/>
          <w:i/>
          <w:szCs w:val="21"/>
          <w:u w:val="single"/>
          <w:lang w:eastAsia="zh-CN"/>
        </w:rPr>
      </w:pPr>
      <w:r w:rsidRPr="00587D7C">
        <w:rPr>
          <w:rFonts w:eastAsiaTheme="minorEastAsia"/>
          <w:i/>
          <w:szCs w:val="21"/>
          <w:u w:val="single"/>
          <w:lang w:val="en-US" w:eastAsia="zh-CN"/>
        </w:rPr>
        <w:t>TDM solution</w:t>
      </w:r>
      <w:r w:rsidR="00547940" w:rsidRPr="00587D7C">
        <w:rPr>
          <w:rFonts w:eastAsiaTheme="minorEastAsia" w:hint="eastAsia"/>
          <w:i/>
          <w:szCs w:val="21"/>
          <w:u w:val="single"/>
          <w:lang w:val="en-US" w:eastAsia="zh-CN"/>
        </w:rPr>
        <w:t xml:space="preserve"> </w:t>
      </w:r>
      <w:r w:rsidR="00E853DF">
        <w:rPr>
          <w:rFonts w:eastAsiaTheme="minorEastAsia"/>
          <w:i/>
          <w:szCs w:val="21"/>
          <w:u w:val="single"/>
          <w:lang w:val="en-US" w:eastAsia="zh-CN"/>
        </w:rPr>
        <w:t>based on half duplex</w:t>
      </w:r>
    </w:p>
    <w:p w:rsidR="00012F8F" w:rsidRPr="00885230" w:rsidRDefault="004D1408" w:rsidP="004D1408">
      <w:pPr>
        <w:pStyle w:val="ListParagraph"/>
        <w:spacing w:after="0" w:afterAutospacing="0"/>
        <w:ind w:firstLineChars="0" w:firstLine="0"/>
        <w:rPr>
          <w:rFonts w:eastAsiaTheme="minorEastAsia"/>
          <w:szCs w:val="20"/>
          <w:lang w:eastAsia="zh-CN"/>
        </w:rPr>
      </w:pPr>
      <w:r w:rsidRPr="00885230">
        <w:rPr>
          <w:rFonts w:eastAsiaTheme="minorEastAsia"/>
          <w:szCs w:val="20"/>
          <w:lang w:eastAsia="zh-CN"/>
        </w:rPr>
        <w:t xml:space="preserve">While BWP is the existing NR feature that can be used to handle harmonics interference from frequency domain, half duplex is the deem-to-exist NR feature that can handle harmonics interference from time domain </w:t>
      </w:r>
      <w:fldSimple w:instr=" REF _Ref492471182 \r \h  \* MERGEFORMAT ">
        <w:r w:rsidR="0004545B" w:rsidRPr="0004545B">
          <w:rPr>
            <w:rFonts w:eastAsiaTheme="minorEastAsia"/>
            <w:szCs w:val="20"/>
            <w:lang w:eastAsia="zh-CN"/>
          </w:rPr>
          <w:t>[1]</w:t>
        </w:r>
      </w:fldSimple>
      <w:r w:rsidRPr="00885230">
        <w:rPr>
          <w:rFonts w:eastAsiaTheme="minorEastAsia"/>
          <w:szCs w:val="20"/>
          <w:lang w:eastAsia="zh-CN"/>
        </w:rPr>
        <w:t xml:space="preserve">. </w:t>
      </w:r>
      <w:r w:rsidR="00C83DFE" w:rsidRPr="00885230">
        <w:rPr>
          <w:rFonts w:eastAsiaTheme="minorEastAsia"/>
          <w:szCs w:val="20"/>
          <w:lang w:eastAsia="zh-CN"/>
        </w:rPr>
        <w:t xml:space="preserve">Given NR would anyway support half duplex operation, there should be minimum, if not none, additional RAN1 specification complexity to apply this feature to avoid harmonics interference. </w:t>
      </w:r>
      <w:r w:rsidR="007A1D15">
        <w:rPr>
          <w:rFonts w:eastAsiaTheme="minorEastAsia"/>
          <w:szCs w:val="20"/>
          <w:lang w:eastAsia="zh-CN"/>
        </w:rPr>
        <w:t xml:space="preserve">In addition, half-duplex works regardless of RRC CONNECTION/IDLE status and DL/UL bandwidth comparison.  </w:t>
      </w:r>
      <w:r w:rsidRPr="00885230">
        <w:rPr>
          <w:rFonts w:eastAsiaTheme="minorEastAsia"/>
          <w:szCs w:val="20"/>
          <w:lang w:eastAsia="zh-CN"/>
        </w:rPr>
        <w:t xml:space="preserve">  </w:t>
      </w:r>
    </w:p>
    <w:p w:rsidR="004D1408" w:rsidRPr="00012F8F" w:rsidRDefault="004D1408" w:rsidP="004D1408">
      <w:pPr>
        <w:pStyle w:val="ListParagraph"/>
        <w:spacing w:after="0" w:afterAutospacing="0"/>
        <w:ind w:firstLineChars="0" w:firstLine="0"/>
        <w:rPr>
          <w:rFonts w:eastAsiaTheme="minorEastAsia"/>
          <w:lang w:eastAsia="zh-CN"/>
        </w:rPr>
      </w:pPr>
    </w:p>
    <w:p w:rsidR="00C009C4" w:rsidRPr="00C009C4" w:rsidRDefault="005A0673" w:rsidP="00C009C4">
      <w:pPr>
        <w:spacing w:after="120" w:afterAutospacing="0"/>
        <w:rPr>
          <w:rFonts w:eastAsiaTheme="minorEastAsia"/>
          <w:b/>
          <w:szCs w:val="21"/>
          <w:lang w:val="en-US" w:eastAsia="zh-CN"/>
        </w:rPr>
      </w:pPr>
      <w:r w:rsidRPr="005A0673">
        <w:rPr>
          <w:rFonts w:eastAsiaTheme="minorEastAsia" w:hint="eastAsia"/>
          <w:b/>
          <w:szCs w:val="21"/>
          <w:lang w:val="en-US" w:eastAsia="zh-CN"/>
        </w:rPr>
        <w:t>2.</w:t>
      </w:r>
      <w:r w:rsidR="00FC67A1">
        <w:rPr>
          <w:rFonts w:eastAsiaTheme="minorEastAsia" w:hint="eastAsia"/>
          <w:b/>
          <w:szCs w:val="21"/>
          <w:lang w:val="en-US" w:eastAsia="zh-CN"/>
        </w:rPr>
        <w:t>2</w:t>
      </w:r>
      <w:r w:rsidRPr="005A0673">
        <w:rPr>
          <w:rFonts w:eastAsiaTheme="minorEastAsia" w:hint="eastAsia"/>
          <w:b/>
          <w:szCs w:val="21"/>
          <w:lang w:val="en-US" w:eastAsia="zh-CN"/>
        </w:rPr>
        <w:t xml:space="preserve"> </w:t>
      </w:r>
      <w:r w:rsidR="00C200C3">
        <w:rPr>
          <w:rFonts w:eastAsiaTheme="minorEastAsia"/>
          <w:b/>
          <w:szCs w:val="21"/>
          <w:lang w:val="en-US" w:eastAsia="zh-CN"/>
        </w:rPr>
        <w:t>Harmonics mixing interference from high frequency UL to low frequency DL</w:t>
      </w:r>
    </w:p>
    <w:p w:rsidR="00D526A1" w:rsidRPr="00885230" w:rsidRDefault="00D526A1" w:rsidP="00C30875">
      <w:pPr>
        <w:spacing w:after="0" w:afterAutospacing="0"/>
        <w:rPr>
          <w:bCs/>
          <w:sz w:val="20"/>
        </w:rPr>
      </w:pPr>
      <w:r w:rsidRPr="00885230">
        <w:rPr>
          <w:bCs/>
          <w:sz w:val="20"/>
        </w:rPr>
        <w:t>RAN4 reaches an agreement</w:t>
      </w:r>
      <w:r w:rsidR="007F6B91" w:rsidRPr="00885230">
        <w:rPr>
          <w:bCs/>
          <w:sz w:val="20"/>
        </w:rPr>
        <w:t xml:space="preserve"> in </w:t>
      </w:r>
      <w:fldSimple w:instr=" REF _Ref492462826 \r \h  \* MERGEFORMAT ">
        <w:r w:rsidR="0004545B" w:rsidRPr="0004545B">
          <w:rPr>
            <w:bCs/>
            <w:sz w:val="20"/>
          </w:rPr>
          <w:t>[2]</w:t>
        </w:r>
      </w:fldSimple>
      <w:r w:rsidR="007F6B91" w:rsidRPr="00885230">
        <w:rPr>
          <w:bCs/>
          <w:sz w:val="20"/>
        </w:rPr>
        <w:t xml:space="preserve"> that:</w:t>
      </w:r>
    </w:p>
    <w:p w:rsidR="00D526A1" w:rsidRPr="00885230" w:rsidRDefault="00D526A1" w:rsidP="003749B0">
      <w:pPr>
        <w:pStyle w:val="DefaultLTGliederung1"/>
        <w:numPr>
          <w:ilvl w:val="0"/>
          <w:numId w:val="22"/>
        </w:numPr>
        <w:spacing w:before="0" w:line="240" w:lineRule="auto"/>
        <w:rPr>
          <w:rFonts w:ascii="Times New Roman" w:hAnsi="Times New Roman" w:cs="Times New Roman"/>
          <w:i/>
          <w:sz w:val="20"/>
          <w:szCs w:val="20"/>
        </w:rPr>
      </w:pPr>
      <w:r w:rsidRPr="00885230">
        <w:rPr>
          <w:rFonts w:ascii="Times New Roman" w:hAnsi="Times New Roman" w:cs="Times New Roman"/>
          <w:i/>
          <w:sz w:val="20"/>
          <w:szCs w:val="20"/>
        </w:rPr>
        <w:t xml:space="preserve">It is agreed that no MSD need to be defined for LTE NR band combinations due to even order harmonic mixing </w:t>
      </w:r>
      <w:r w:rsidRPr="00885230">
        <w:rPr>
          <w:rFonts w:ascii="Times New Roman" w:hAnsi="Times New Roman" w:cs="Times New Roman"/>
          <w:i/>
          <w:color w:val="FF0000"/>
          <w:sz w:val="20"/>
          <w:szCs w:val="20"/>
        </w:rPr>
        <w:t>unless specific issues are found</w:t>
      </w:r>
      <w:r w:rsidR="003749B0" w:rsidRPr="00885230">
        <w:rPr>
          <w:rFonts w:ascii="Times New Roman" w:hAnsi="Times New Roman" w:cs="Times New Roman"/>
          <w:color w:val="FF0000"/>
          <w:sz w:val="20"/>
          <w:szCs w:val="20"/>
        </w:rPr>
        <w:t>.</w:t>
      </w:r>
    </w:p>
    <w:p w:rsidR="00D526A1" w:rsidRPr="00885230" w:rsidRDefault="00D526A1" w:rsidP="003749B0">
      <w:pPr>
        <w:pStyle w:val="DefaultLTGliederung1"/>
        <w:numPr>
          <w:ilvl w:val="0"/>
          <w:numId w:val="22"/>
        </w:numPr>
        <w:spacing w:before="0" w:line="240" w:lineRule="auto"/>
        <w:rPr>
          <w:rFonts w:ascii="Times New Roman" w:hAnsi="Times New Roman" w:cs="Times New Roman"/>
          <w:i/>
          <w:sz w:val="20"/>
          <w:szCs w:val="20"/>
        </w:rPr>
      </w:pPr>
      <w:r w:rsidRPr="00885230">
        <w:rPr>
          <w:rFonts w:ascii="Times New Roman" w:hAnsi="Times New Roman" w:cs="Times New Roman"/>
          <w:i/>
          <w:sz w:val="20"/>
          <w:szCs w:val="20"/>
        </w:rPr>
        <w:t>Study MSD caused by odd order harmonic mixing case by case for LTE NR band combinations and make a conclusion on this.</w:t>
      </w:r>
    </w:p>
    <w:p w:rsidR="007C7768" w:rsidRPr="00885230" w:rsidRDefault="00D03BA6" w:rsidP="003749B0">
      <w:pPr>
        <w:spacing w:after="0" w:afterAutospacing="0"/>
        <w:rPr>
          <w:bCs/>
          <w:sz w:val="20"/>
        </w:rPr>
      </w:pPr>
      <w:r w:rsidRPr="00885230">
        <w:rPr>
          <w:bCs/>
          <w:sz w:val="20"/>
        </w:rPr>
        <w:t>Even though the MSD for the even-order harmonics mixing is agreed not to be defined, it is not ensured the even-order harmonics mixing would be trouble free. In addition, the 5</w:t>
      </w:r>
      <w:r w:rsidRPr="00885230">
        <w:rPr>
          <w:bCs/>
          <w:sz w:val="20"/>
          <w:vertAlign w:val="superscript"/>
        </w:rPr>
        <w:t>th</w:t>
      </w:r>
      <w:r w:rsidRPr="00885230">
        <w:rPr>
          <w:bCs/>
          <w:sz w:val="20"/>
        </w:rPr>
        <w:t xml:space="preserve"> order harmonics mixing, which is still in the RAN4 study plan for odd order harmonics mixing, could </w:t>
      </w:r>
      <w:r w:rsidR="009A013B" w:rsidRPr="00885230">
        <w:rPr>
          <w:bCs/>
          <w:sz w:val="20"/>
        </w:rPr>
        <w:t>occur</w:t>
      </w:r>
      <w:r w:rsidRPr="00885230">
        <w:rPr>
          <w:bCs/>
          <w:sz w:val="20"/>
        </w:rPr>
        <w:t xml:space="preserve"> to the band combination</w:t>
      </w:r>
      <w:r w:rsidR="007C7768" w:rsidRPr="00885230">
        <w:rPr>
          <w:bCs/>
          <w:sz w:val="20"/>
        </w:rPr>
        <w:t>s</w:t>
      </w:r>
      <w:r w:rsidRPr="00885230">
        <w:rPr>
          <w:bCs/>
          <w:sz w:val="20"/>
        </w:rPr>
        <w:t xml:space="preserve"> of </w:t>
      </w:r>
    </w:p>
    <w:p w:rsidR="009A013B" w:rsidRPr="00885230" w:rsidRDefault="007C7768" w:rsidP="003749B0">
      <w:pPr>
        <w:spacing w:after="0" w:afterAutospacing="0"/>
        <w:rPr>
          <w:bCs/>
          <w:sz w:val="20"/>
        </w:rPr>
      </w:pPr>
      <w:r w:rsidRPr="00885230">
        <w:rPr>
          <w:bCs/>
          <w:sz w:val="20"/>
        </w:rPr>
        <w:tab/>
        <w:t>LTE Band 20 (DL@791-821MHz) and NR@3.3-4.2GHz(DL&amp;UL)</w:t>
      </w:r>
      <w:r w:rsidR="00D03BA6" w:rsidRPr="00885230">
        <w:rPr>
          <w:bCs/>
          <w:sz w:val="20"/>
        </w:rPr>
        <w:t xml:space="preserve"> </w:t>
      </w:r>
    </w:p>
    <w:p w:rsidR="004A62DB" w:rsidRPr="00885230" w:rsidRDefault="009A013B" w:rsidP="003749B0">
      <w:pPr>
        <w:spacing w:after="0" w:afterAutospacing="0"/>
        <w:rPr>
          <w:bCs/>
          <w:sz w:val="20"/>
        </w:rPr>
      </w:pPr>
      <w:r w:rsidRPr="00885230">
        <w:rPr>
          <w:bCs/>
          <w:sz w:val="20"/>
        </w:rPr>
        <w:tab/>
        <w:t>LTE Band 28 (DL@758-803MHz) and NR@3.3-4.2GHz(DL&amp;UL)</w:t>
      </w:r>
      <w:r w:rsidR="007F6B91" w:rsidRPr="00885230">
        <w:rPr>
          <w:bCs/>
          <w:sz w:val="20"/>
        </w:rPr>
        <w:t xml:space="preserve"> </w:t>
      </w:r>
    </w:p>
    <w:p w:rsidR="00C200C3" w:rsidRPr="00885230" w:rsidRDefault="009A013B" w:rsidP="00C30875">
      <w:pPr>
        <w:spacing w:after="0" w:afterAutospacing="0"/>
        <w:rPr>
          <w:bCs/>
          <w:sz w:val="20"/>
        </w:rPr>
      </w:pPr>
      <w:r w:rsidRPr="00885230">
        <w:rPr>
          <w:bCs/>
          <w:sz w:val="20"/>
        </w:rPr>
        <w:t xml:space="preserve">The FDM solution based on BWP and TDM solution based on half duplex are still applicable to harmonics mixing interference between low frequency DL and high frequency UL. </w:t>
      </w:r>
    </w:p>
    <w:p w:rsidR="00877387" w:rsidRDefault="00877387" w:rsidP="00877387">
      <w:pPr>
        <w:pStyle w:val="Heading1"/>
        <w:tabs>
          <w:tab w:val="clear" w:pos="450"/>
          <w:tab w:val="num" w:pos="0"/>
        </w:tabs>
        <w:snapToGrid w:val="0"/>
        <w:spacing w:after="120" w:afterAutospacing="0"/>
        <w:ind w:left="0" w:firstLine="0"/>
        <w:rPr>
          <w:rFonts w:cs="Arial"/>
          <w:b/>
          <w:lang w:val="en-US"/>
        </w:rPr>
      </w:pPr>
      <w:r>
        <w:rPr>
          <w:rFonts w:cs="Arial"/>
          <w:b/>
          <w:lang w:val="en-US"/>
        </w:rPr>
        <w:t>Conclusion</w:t>
      </w:r>
    </w:p>
    <w:p w:rsidR="00877387" w:rsidRPr="00EE644F" w:rsidRDefault="00BC21D6" w:rsidP="006130EC">
      <w:pPr>
        <w:spacing w:after="120" w:afterAutospacing="0"/>
        <w:rPr>
          <w:bCs/>
          <w:sz w:val="20"/>
        </w:rPr>
      </w:pPr>
      <w:r w:rsidRPr="00EE644F">
        <w:rPr>
          <w:bCs/>
          <w:sz w:val="20"/>
        </w:rPr>
        <w:t xml:space="preserve">This contribution concludes with following </w:t>
      </w:r>
      <w:r w:rsidR="00952257">
        <w:rPr>
          <w:bCs/>
          <w:sz w:val="20"/>
        </w:rPr>
        <w:t>observation and proposal</w:t>
      </w:r>
      <w:r w:rsidRPr="00EE644F">
        <w:rPr>
          <w:bCs/>
          <w:sz w:val="20"/>
        </w:rPr>
        <w:t xml:space="preserve">: </w:t>
      </w:r>
    </w:p>
    <w:p w:rsidR="00EE644F" w:rsidRDefault="00EE644F" w:rsidP="00952257">
      <w:pPr>
        <w:spacing w:after="120" w:afterAutospacing="0"/>
        <w:ind w:left="990" w:hanging="990"/>
        <w:jc w:val="both"/>
        <w:rPr>
          <w:bCs/>
          <w:szCs w:val="21"/>
        </w:rPr>
      </w:pPr>
      <w:r>
        <w:rPr>
          <w:b/>
          <w:bCs/>
          <w:i/>
          <w:szCs w:val="21"/>
        </w:rPr>
        <w:t>Observation</w:t>
      </w:r>
      <w:r w:rsidR="00244CD0" w:rsidRPr="00244CD0">
        <w:rPr>
          <w:b/>
          <w:bCs/>
          <w:i/>
          <w:szCs w:val="21"/>
        </w:rPr>
        <w:t xml:space="preserve">: </w:t>
      </w:r>
      <w:r>
        <w:rPr>
          <w:b/>
          <w:bCs/>
          <w:i/>
          <w:szCs w:val="21"/>
        </w:rPr>
        <w:t>FDM-based solution to avoid harmonics related interference</w:t>
      </w:r>
      <w:r w:rsidR="00952257">
        <w:rPr>
          <w:b/>
          <w:bCs/>
          <w:i/>
          <w:szCs w:val="21"/>
        </w:rPr>
        <w:t xml:space="preserve">, if needed, can be based on </w:t>
      </w:r>
      <w:r>
        <w:rPr>
          <w:b/>
          <w:bCs/>
          <w:i/>
          <w:szCs w:val="21"/>
        </w:rPr>
        <w:t xml:space="preserve">NR feature of bandwidth part (BWP). </w:t>
      </w:r>
      <w:r w:rsidR="0004545B">
        <w:rPr>
          <w:b/>
          <w:bCs/>
          <w:i/>
          <w:szCs w:val="21"/>
        </w:rPr>
        <w:t>Comparing to half-duplex operation,</w:t>
      </w:r>
      <w:r>
        <w:rPr>
          <w:b/>
          <w:bCs/>
          <w:i/>
          <w:szCs w:val="21"/>
        </w:rPr>
        <w:t xml:space="preserve"> it needs more specification work, and its effectiveness depends on the locations/sizes of DL/UL BWPs in the DL/UL system bandwidth as well as the order of harmonics that is to be avoided.  </w:t>
      </w:r>
    </w:p>
    <w:p w:rsidR="00952257" w:rsidRPr="0004545B" w:rsidRDefault="00952257" w:rsidP="00952257">
      <w:pPr>
        <w:spacing w:after="120" w:afterAutospacing="0"/>
        <w:jc w:val="both"/>
        <w:rPr>
          <w:b/>
          <w:bCs/>
          <w:i/>
          <w:szCs w:val="21"/>
        </w:rPr>
      </w:pPr>
      <w:r w:rsidRPr="0004545B">
        <w:rPr>
          <w:b/>
          <w:bCs/>
          <w:i/>
          <w:szCs w:val="21"/>
        </w:rPr>
        <w:t xml:space="preserve">Proposal: </w:t>
      </w:r>
      <w:r w:rsidR="0004545B" w:rsidRPr="0004545B">
        <w:rPr>
          <w:b/>
          <w:bCs/>
          <w:i/>
          <w:szCs w:val="21"/>
        </w:rPr>
        <w:t xml:space="preserve">To rely on existing NR features (e.g., BWP, half-duplex) to handle harmonics related interference. </w:t>
      </w:r>
    </w:p>
    <w:p w:rsidR="00791D6C" w:rsidRDefault="00BA729D" w:rsidP="004A2C39">
      <w:pPr>
        <w:pStyle w:val="Heading1"/>
        <w:numPr>
          <w:ilvl w:val="0"/>
          <w:numId w:val="0"/>
        </w:numPr>
        <w:tabs>
          <w:tab w:val="clear" w:pos="0"/>
        </w:tabs>
        <w:spacing w:before="0" w:afterLines="50" w:afterAutospacing="0" w:line="360" w:lineRule="auto"/>
        <w:rPr>
          <w:rFonts w:cs="Arial"/>
          <w:b/>
          <w:lang w:val="en-US"/>
        </w:rPr>
      </w:pPr>
      <w:r w:rsidRPr="00F866A3">
        <w:rPr>
          <w:rFonts w:cs="Arial"/>
          <w:b/>
          <w:lang w:val="en-US"/>
        </w:rPr>
        <w:t>References</w:t>
      </w:r>
    </w:p>
    <w:p w:rsidR="006A5D09" w:rsidRDefault="006A5D09" w:rsidP="00BA729D">
      <w:pPr>
        <w:pStyle w:val="ListParagraph"/>
        <w:numPr>
          <w:ilvl w:val="0"/>
          <w:numId w:val="9"/>
        </w:numPr>
        <w:ind w:leftChars="2" w:left="448" w:hangingChars="222" w:hanging="444"/>
        <w:rPr>
          <w:rFonts w:eastAsiaTheme="minorEastAsia"/>
          <w:szCs w:val="20"/>
          <w:lang w:val="en-GB" w:eastAsia="zh-CN"/>
        </w:rPr>
      </w:pPr>
      <w:bookmarkStart w:id="0" w:name="_Ref492471182"/>
      <w:bookmarkStart w:id="1" w:name="_Ref446076644"/>
      <w:bookmarkStart w:id="2" w:name="_Ref426471819"/>
      <w:bookmarkStart w:id="3" w:name="_Ref410219761"/>
      <w:bookmarkStart w:id="4" w:name="_Ref446960391"/>
      <w:r w:rsidRPr="006A5D09">
        <w:rPr>
          <w:rFonts w:eastAsiaTheme="minorEastAsia"/>
          <w:szCs w:val="20"/>
          <w:lang w:val="en-GB" w:eastAsia="zh-CN"/>
        </w:rPr>
        <w:t>R1-1713318</w:t>
      </w:r>
      <w:r>
        <w:rPr>
          <w:rFonts w:eastAsiaTheme="minorEastAsia"/>
          <w:szCs w:val="20"/>
          <w:lang w:val="en-GB" w:eastAsia="zh-CN"/>
        </w:rPr>
        <w:t>,</w:t>
      </w:r>
      <w:r w:rsidRPr="006A5D09">
        <w:rPr>
          <w:rFonts w:eastAsiaTheme="minorEastAsia"/>
          <w:szCs w:val="20"/>
          <w:lang w:val="en-GB" w:eastAsia="zh-CN"/>
        </w:rPr>
        <w:t xml:space="preserve"> Harmonics issue within band combinations</w:t>
      </w:r>
      <w:r>
        <w:rPr>
          <w:rFonts w:eastAsiaTheme="minorEastAsia"/>
          <w:szCs w:val="20"/>
          <w:lang w:val="en-GB" w:eastAsia="zh-CN"/>
        </w:rPr>
        <w:t>, ZTE</w:t>
      </w:r>
      <w:bookmarkEnd w:id="0"/>
    </w:p>
    <w:p w:rsidR="007753BE" w:rsidRDefault="00D526A1" w:rsidP="00BA729D">
      <w:pPr>
        <w:pStyle w:val="ListParagraph"/>
        <w:numPr>
          <w:ilvl w:val="0"/>
          <w:numId w:val="9"/>
        </w:numPr>
        <w:ind w:leftChars="2" w:left="448" w:hangingChars="222" w:hanging="444"/>
        <w:rPr>
          <w:rFonts w:eastAsiaTheme="minorEastAsia"/>
          <w:szCs w:val="20"/>
          <w:lang w:val="en-GB" w:eastAsia="zh-CN"/>
        </w:rPr>
      </w:pPr>
      <w:bookmarkStart w:id="5" w:name="_Ref492462826"/>
      <w:r w:rsidRPr="00D526A1">
        <w:rPr>
          <w:rFonts w:eastAsiaTheme="minorEastAsia"/>
          <w:szCs w:val="20"/>
          <w:lang w:val="en-GB" w:eastAsia="zh-CN"/>
        </w:rPr>
        <w:lastRenderedPageBreak/>
        <w:t>R4-1709139</w:t>
      </w:r>
      <w:r>
        <w:rPr>
          <w:rFonts w:eastAsiaTheme="minorEastAsia"/>
          <w:szCs w:val="20"/>
          <w:lang w:val="en-GB" w:eastAsia="zh-CN"/>
        </w:rPr>
        <w:t>,</w:t>
      </w:r>
      <w:r w:rsidRPr="00D526A1">
        <w:rPr>
          <w:rFonts w:eastAsiaTheme="minorEastAsia"/>
          <w:szCs w:val="20"/>
          <w:lang w:val="en-GB" w:eastAsia="zh-CN"/>
        </w:rPr>
        <w:t xml:space="preserve"> Way Forward on MSD for below 6GHz</w:t>
      </w:r>
      <w:r>
        <w:rPr>
          <w:rFonts w:eastAsiaTheme="minorEastAsia"/>
          <w:szCs w:val="20"/>
          <w:lang w:val="en-GB" w:eastAsia="zh-CN"/>
        </w:rPr>
        <w:t>, Huawei, vivo, LG Electronics</w:t>
      </w:r>
      <w:bookmarkEnd w:id="5"/>
    </w:p>
    <w:bookmarkEnd w:id="1"/>
    <w:bookmarkEnd w:id="2"/>
    <w:bookmarkEnd w:id="3"/>
    <w:bookmarkEnd w:id="4"/>
    <w:p w:rsidR="00EF03DF" w:rsidRPr="00C909E7" w:rsidRDefault="00EF03DF" w:rsidP="00EE644F">
      <w:pPr>
        <w:pStyle w:val="ListParagraph"/>
        <w:ind w:left="448" w:firstLineChars="0" w:firstLine="0"/>
        <w:rPr>
          <w:rFonts w:eastAsiaTheme="minorEastAsia"/>
          <w:szCs w:val="20"/>
          <w:lang w:val="en-GB" w:eastAsia="zh-CN"/>
        </w:rPr>
      </w:pPr>
    </w:p>
    <w:sectPr w:rsidR="00EF03DF" w:rsidRPr="00C909E7" w:rsidSect="001D2C7C">
      <w:footerReference w:type="default" r:id="rId8"/>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B9D" w:rsidRDefault="00C86B9D">
      <w:r>
        <w:separator/>
      </w:r>
    </w:p>
  </w:endnote>
  <w:endnote w:type="continuationSeparator" w:id="0">
    <w:p w:rsidR="00C86B9D" w:rsidRDefault="00C86B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altName w:val="Malgun Gothic Semilight"/>
    <w:panose1 w:val="02010609060101010101"/>
    <w:charset w:val="00"/>
    <w:family w:val="roman"/>
    <w:notTrueType/>
    <w:pitch w:val="default"/>
    <w:sig w:usb0="00000000" w:usb1="00000000" w:usb2="00000000" w:usb3="00000000" w:csb0="00000000" w:csb1="00000000"/>
  </w:font>
  <w:font w:name="Liberation Serif">
    <w:altName w:val="Times New Roman"/>
    <w:charset w:val="00"/>
    <w:family w:val="roman"/>
    <w:pitch w:val="default"/>
    <w:sig w:usb0="00000000" w:usb1="00000000" w:usb2="00000000" w:usb3="00000000" w:csb0="00000001" w:csb1="00000000"/>
  </w:font>
  <w:font w:name="FreeSans">
    <w:altName w:val="Times New Roman"/>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AAF" w:rsidRPr="001A0415" w:rsidRDefault="00F016D0">
    <w:pPr>
      <w:pStyle w:val="Footer"/>
      <w:jc w:val="center"/>
      <w:rPr>
        <w:lang w:eastAsia="zh-CN"/>
      </w:rPr>
    </w:pPr>
    <w:fldSimple w:instr=" PAGE   \* MERGEFORMAT ">
      <w:r w:rsidR="004A2C39">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B9D" w:rsidRDefault="00C86B9D">
      <w:r>
        <w:separator/>
      </w:r>
    </w:p>
  </w:footnote>
  <w:footnote w:type="continuationSeparator" w:id="0">
    <w:p w:rsidR="00C86B9D" w:rsidRDefault="00C86B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CB81847"/>
    <w:multiLevelType w:val="hybridMultilevel"/>
    <w:tmpl w:val="07942B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D367B45"/>
    <w:multiLevelType w:val="hybridMultilevel"/>
    <w:tmpl w:val="967C802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7">
    <w:nsid w:val="2F3E217A"/>
    <w:multiLevelType w:val="hybridMultilevel"/>
    <w:tmpl w:val="FF26F9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2481E96"/>
    <w:multiLevelType w:val="hybridMultilevel"/>
    <w:tmpl w:val="3C18C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1">
    <w:nsid w:val="383332F4"/>
    <w:multiLevelType w:val="hybridMultilevel"/>
    <w:tmpl w:val="DB0E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98D164E"/>
    <w:multiLevelType w:val="hybridMultilevel"/>
    <w:tmpl w:val="E4FC46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5B052685"/>
    <w:multiLevelType w:val="hybridMultilevel"/>
    <w:tmpl w:val="07EE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8">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03D33AC"/>
    <w:multiLevelType w:val="hybridMultilevel"/>
    <w:tmpl w:val="169EF8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22">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185208"/>
    <w:multiLevelType w:val="hybridMultilevel"/>
    <w:tmpl w:val="872C2FFA"/>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4D12D9"/>
    <w:multiLevelType w:val="hybridMultilevel"/>
    <w:tmpl w:val="C1823E36"/>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9"/>
  </w:num>
  <w:num w:numId="4">
    <w:abstractNumId w:val="9"/>
  </w:num>
  <w:num w:numId="5">
    <w:abstractNumId w:val="24"/>
  </w:num>
  <w:num w:numId="6">
    <w:abstractNumId w:val="22"/>
  </w:num>
  <w:num w:numId="7">
    <w:abstractNumId w:val="13"/>
  </w:num>
  <w:num w:numId="8">
    <w:abstractNumId w:val="5"/>
  </w:num>
  <w:num w:numId="9">
    <w:abstractNumId w:val="23"/>
  </w:num>
  <w:num w:numId="10">
    <w:abstractNumId w:val="18"/>
  </w:num>
  <w:num w:numId="11">
    <w:abstractNumId w:val="5"/>
  </w:num>
  <w:num w:numId="12">
    <w:abstractNumId w:val="16"/>
  </w:num>
  <w:num w:numId="13">
    <w:abstractNumId w:val="21"/>
  </w:num>
  <w:num w:numId="14">
    <w:abstractNumId w:val="6"/>
  </w:num>
  <w:num w:numId="15">
    <w:abstractNumId w:val="2"/>
  </w:num>
  <w:num w:numId="16">
    <w:abstractNumId w:val="25"/>
  </w:num>
  <w:num w:numId="17">
    <w:abstractNumId w:val="14"/>
  </w:num>
  <w:num w:numId="18">
    <w:abstractNumId w:val="10"/>
  </w:num>
  <w:num w:numId="19">
    <w:abstractNumId w:val="17"/>
  </w:num>
  <w:num w:numId="20">
    <w:abstractNumId w:val="4"/>
  </w:num>
  <w:num w:numId="21">
    <w:abstractNumId w:val="11"/>
  </w:num>
  <w:num w:numId="22">
    <w:abstractNumId w:val="8"/>
  </w:num>
  <w:num w:numId="23">
    <w:abstractNumId w:val="1"/>
  </w:num>
  <w:num w:numId="24">
    <w:abstractNumId w:val="20"/>
  </w:num>
  <w:num w:numId="25">
    <w:abstractNumId w:val="12"/>
  </w:num>
  <w:num w:numId="26">
    <w:abstractNumId w:val="27"/>
  </w:num>
  <w:num w:numId="27">
    <w:abstractNumId w:val="26"/>
  </w:num>
  <w:num w:numId="28">
    <w:abstractNumId w:val="3"/>
  </w:num>
  <w:num w:numId="29">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325634">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50"/>
    <w:rsid w:val="000073CA"/>
    <w:rsid w:val="00007488"/>
    <w:rsid w:val="0000775C"/>
    <w:rsid w:val="00007B7A"/>
    <w:rsid w:val="0001173D"/>
    <w:rsid w:val="00012880"/>
    <w:rsid w:val="000129F3"/>
    <w:rsid w:val="00012F8F"/>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6FF"/>
    <w:rsid w:val="0002674C"/>
    <w:rsid w:val="00027F49"/>
    <w:rsid w:val="000303AE"/>
    <w:rsid w:val="00030512"/>
    <w:rsid w:val="00030638"/>
    <w:rsid w:val="0003107E"/>
    <w:rsid w:val="0003161B"/>
    <w:rsid w:val="00031B51"/>
    <w:rsid w:val="00031F64"/>
    <w:rsid w:val="000327E7"/>
    <w:rsid w:val="00032A9E"/>
    <w:rsid w:val="00032C65"/>
    <w:rsid w:val="000331D7"/>
    <w:rsid w:val="00033BEF"/>
    <w:rsid w:val="00033C23"/>
    <w:rsid w:val="00033DE7"/>
    <w:rsid w:val="000346A3"/>
    <w:rsid w:val="000346C1"/>
    <w:rsid w:val="000349B0"/>
    <w:rsid w:val="000350C7"/>
    <w:rsid w:val="000355C6"/>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6D2"/>
    <w:rsid w:val="00044DEE"/>
    <w:rsid w:val="0004545B"/>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1A6"/>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5B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3AF1"/>
    <w:rsid w:val="000B442F"/>
    <w:rsid w:val="000B4805"/>
    <w:rsid w:val="000B4863"/>
    <w:rsid w:val="000B4E54"/>
    <w:rsid w:val="000B50F8"/>
    <w:rsid w:val="000B5402"/>
    <w:rsid w:val="000B5CA5"/>
    <w:rsid w:val="000B5DB1"/>
    <w:rsid w:val="000B5E7F"/>
    <w:rsid w:val="000B60E7"/>
    <w:rsid w:val="000B62BE"/>
    <w:rsid w:val="000B648F"/>
    <w:rsid w:val="000B74BC"/>
    <w:rsid w:val="000B75BD"/>
    <w:rsid w:val="000B7921"/>
    <w:rsid w:val="000C0073"/>
    <w:rsid w:val="000C0A3C"/>
    <w:rsid w:val="000C0A69"/>
    <w:rsid w:val="000C0C08"/>
    <w:rsid w:val="000C1526"/>
    <w:rsid w:val="000C16E0"/>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4F4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3F5"/>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6EE"/>
    <w:rsid w:val="00130724"/>
    <w:rsid w:val="00130B99"/>
    <w:rsid w:val="0013126E"/>
    <w:rsid w:val="00131BB9"/>
    <w:rsid w:val="00131BC5"/>
    <w:rsid w:val="00131DFC"/>
    <w:rsid w:val="00131FE3"/>
    <w:rsid w:val="001328F1"/>
    <w:rsid w:val="00132CF0"/>
    <w:rsid w:val="00132D05"/>
    <w:rsid w:val="00132F33"/>
    <w:rsid w:val="00133140"/>
    <w:rsid w:val="001332C0"/>
    <w:rsid w:val="00133969"/>
    <w:rsid w:val="00133B39"/>
    <w:rsid w:val="00133BF3"/>
    <w:rsid w:val="001342F0"/>
    <w:rsid w:val="00134322"/>
    <w:rsid w:val="00134625"/>
    <w:rsid w:val="00134822"/>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2DC5"/>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B44"/>
    <w:rsid w:val="00161D22"/>
    <w:rsid w:val="00163054"/>
    <w:rsid w:val="00163380"/>
    <w:rsid w:val="001636A6"/>
    <w:rsid w:val="00163B61"/>
    <w:rsid w:val="001640CD"/>
    <w:rsid w:val="0016457D"/>
    <w:rsid w:val="001648D5"/>
    <w:rsid w:val="00164981"/>
    <w:rsid w:val="00164CA3"/>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5C8E"/>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2E29"/>
    <w:rsid w:val="00183687"/>
    <w:rsid w:val="00183D6F"/>
    <w:rsid w:val="001841AF"/>
    <w:rsid w:val="00185267"/>
    <w:rsid w:val="00185299"/>
    <w:rsid w:val="00185749"/>
    <w:rsid w:val="00185A0C"/>
    <w:rsid w:val="0018612F"/>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B43"/>
    <w:rsid w:val="00194F0B"/>
    <w:rsid w:val="00195330"/>
    <w:rsid w:val="00196163"/>
    <w:rsid w:val="00196310"/>
    <w:rsid w:val="0019687F"/>
    <w:rsid w:val="00196A8A"/>
    <w:rsid w:val="00196DE7"/>
    <w:rsid w:val="001972FF"/>
    <w:rsid w:val="001A0415"/>
    <w:rsid w:val="001A0590"/>
    <w:rsid w:val="001A067B"/>
    <w:rsid w:val="001A18ED"/>
    <w:rsid w:val="001A1AF8"/>
    <w:rsid w:val="001A268B"/>
    <w:rsid w:val="001A346A"/>
    <w:rsid w:val="001A3A37"/>
    <w:rsid w:val="001A3AB3"/>
    <w:rsid w:val="001A3B25"/>
    <w:rsid w:val="001A4046"/>
    <w:rsid w:val="001A450C"/>
    <w:rsid w:val="001A4F9C"/>
    <w:rsid w:val="001A6065"/>
    <w:rsid w:val="001A63DC"/>
    <w:rsid w:val="001A712E"/>
    <w:rsid w:val="001A759E"/>
    <w:rsid w:val="001A793F"/>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8ED"/>
    <w:rsid w:val="001E3FC0"/>
    <w:rsid w:val="001E4CB7"/>
    <w:rsid w:val="001E5F8C"/>
    <w:rsid w:val="001E61B2"/>
    <w:rsid w:val="001E6312"/>
    <w:rsid w:val="001E67F2"/>
    <w:rsid w:val="001E6BF5"/>
    <w:rsid w:val="001E6D1A"/>
    <w:rsid w:val="001E6FBC"/>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2D02"/>
    <w:rsid w:val="00243040"/>
    <w:rsid w:val="00243250"/>
    <w:rsid w:val="00243685"/>
    <w:rsid w:val="00243895"/>
    <w:rsid w:val="00243DA3"/>
    <w:rsid w:val="002442CF"/>
    <w:rsid w:val="0024468D"/>
    <w:rsid w:val="00244CD0"/>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B54"/>
    <w:rsid w:val="00261C31"/>
    <w:rsid w:val="002620AC"/>
    <w:rsid w:val="00262703"/>
    <w:rsid w:val="00262CFF"/>
    <w:rsid w:val="00262D7B"/>
    <w:rsid w:val="00262E7E"/>
    <w:rsid w:val="0026354F"/>
    <w:rsid w:val="002643F1"/>
    <w:rsid w:val="00264DD7"/>
    <w:rsid w:val="002652AA"/>
    <w:rsid w:val="0026598E"/>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0B44"/>
    <w:rsid w:val="002911B5"/>
    <w:rsid w:val="00291CCF"/>
    <w:rsid w:val="00292691"/>
    <w:rsid w:val="002926E4"/>
    <w:rsid w:val="00292C22"/>
    <w:rsid w:val="002932D4"/>
    <w:rsid w:val="002935AF"/>
    <w:rsid w:val="002941C9"/>
    <w:rsid w:val="0029481B"/>
    <w:rsid w:val="00294CCD"/>
    <w:rsid w:val="00294E40"/>
    <w:rsid w:val="00295386"/>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2D93"/>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257"/>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4E9"/>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A7E"/>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0F31"/>
    <w:rsid w:val="002F124F"/>
    <w:rsid w:val="002F1837"/>
    <w:rsid w:val="002F1DF4"/>
    <w:rsid w:val="002F2068"/>
    <w:rsid w:val="002F26AF"/>
    <w:rsid w:val="002F26C6"/>
    <w:rsid w:val="002F27A4"/>
    <w:rsid w:val="002F29F5"/>
    <w:rsid w:val="002F2EC7"/>
    <w:rsid w:val="002F2F92"/>
    <w:rsid w:val="002F3465"/>
    <w:rsid w:val="002F397C"/>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91D"/>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4E37"/>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5"/>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9B0"/>
    <w:rsid w:val="00374C01"/>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6AB"/>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3481"/>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0C1"/>
    <w:rsid w:val="003C3525"/>
    <w:rsid w:val="003C3BF3"/>
    <w:rsid w:val="003C3C58"/>
    <w:rsid w:val="003C4BB6"/>
    <w:rsid w:val="003C4E3E"/>
    <w:rsid w:val="003C5159"/>
    <w:rsid w:val="003C5480"/>
    <w:rsid w:val="003C555D"/>
    <w:rsid w:val="003C5C49"/>
    <w:rsid w:val="003C6116"/>
    <w:rsid w:val="003C6361"/>
    <w:rsid w:val="003C6586"/>
    <w:rsid w:val="003C6690"/>
    <w:rsid w:val="003C6954"/>
    <w:rsid w:val="003C6B9B"/>
    <w:rsid w:val="003C70AB"/>
    <w:rsid w:val="003C74F1"/>
    <w:rsid w:val="003C76A6"/>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6B12"/>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475"/>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115"/>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5EF"/>
    <w:rsid w:val="004228FD"/>
    <w:rsid w:val="00422BDA"/>
    <w:rsid w:val="00422E02"/>
    <w:rsid w:val="00423471"/>
    <w:rsid w:val="00423505"/>
    <w:rsid w:val="00423A59"/>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87C36"/>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8D9"/>
    <w:rsid w:val="004A2A22"/>
    <w:rsid w:val="004A2C39"/>
    <w:rsid w:val="004A32CA"/>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2DB"/>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794"/>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408"/>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6F5C"/>
    <w:rsid w:val="004F772D"/>
    <w:rsid w:val="004F7A24"/>
    <w:rsid w:val="004F7B04"/>
    <w:rsid w:val="004F7D88"/>
    <w:rsid w:val="00500007"/>
    <w:rsid w:val="00500393"/>
    <w:rsid w:val="0050050A"/>
    <w:rsid w:val="00500BD0"/>
    <w:rsid w:val="005011E6"/>
    <w:rsid w:val="005012E4"/>
    <w:rsid w:val="00501412"/>
    <w:rsid w:val="0050143E"/>
    <w:rsid w:val="00501513"/>
    <w:rsid w:val="0050181E"/>
    <w:rsid w:val="0050187F"/>
    <w:rsid w:val="00501A64"/>
    <w:rsid w:val="0050248F"/>
    <w:rsid w:val="00502F78"/>
    <w:rsid w:val="0050347B"/>
    <w:rsid w:val="00503547"/>
    <w:rsid w:val="005035DD"/>
    <w:rsid w:val="005036D0"/>
    <w:rsid w:val="005038C3"/>
    <w:rsid w:val="00503918"/>
    <w:rsid w:val="00503C4A"/>
    <w:rsid w:val="005043FB"/>
    <w:rsid w:val="00504644"/>
    <w:rsid w:val="0050478C"/>
    <w:rsid w:val="00504D9B"/>
    <w:rsid w:val="00504F89"/>
    <w:rsid w:val="005051A0"/>
    <w:rsid w:val="0050539D"/>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116"/>
    <w:rsid w:val="005273F6"/>
    <w:rsid w:val="00527475"/>
    <w:rsid w:val="00527706"/>
    <w:rsid w:val="00527A89"/>
    <w:rsid w:val="00527BEE"/>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4EB"/>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40"/>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0FC1"/>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5B08"/>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87D7C"/>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67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24"/>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2B2"/>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3C68"/>
    <w:rsid w:val="005D43B8"/>
    <w:rsid w:val="005D4685"/>
    <w:rsid w:val="005D4941"/>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0FA5"/>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51"/>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0EC"/>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0BC"/>
    <w:rsid w:val="00666458"/>
    <w:rsid w:val="0066698D"/>
    <w:rsid w:val="00666B42"/>
    <w:rsid w:val="00666D67"/>
    <w:rsid w:val="00666FDD"/>
    <w:rsid w:val="0066713F"/>
    <w:rsid w:val="0066746D"/>
    <w:rsid w:val="00667D51"/>
    <w:rsid w:val="00667E16"/>
    <w:rsid w:val="0067047F"/>
    <w:rsid w:val="006708DE"/>
    <w:rsid w:val="00670ACF"/>
    <w:rsid w:val="00670AE9"/>
    <w:rsid w:val="00670CFC"/>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94C"/>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493"/>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9BE"/>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5D09"/>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341"/>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26"/>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2AC"/>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F39"/>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1A"/>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D4D"/>
    <w:rsid w:val="00731DC8"/>
    <w:rsid w:val="00731E03"/>
    <w:rsid w:val="00732177"/>
    <w:rsid w:val="00732662"/>
    <w:rsid w:val="007327D5"/>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610"/>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B8E"/>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3BE"/>
    <w:rsid w:val="007754F0"/>
    <w:rsid w:val="00775635"/>
    <w:rsid w:val="007756E9"/>
    <w:rsid w:val="00775929"/>
    <w:rsid w:val="00775E08"/>
    <w:rsid w:val="0077695C"/>
    <w:rsid w:val="00777793"/>
    <w:rsid w:val="007800FD"/>
    <w:rsid w:val="0078020B"/>
    <w:rsid w:val="007804C8"/>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6C"/>
    <w:rsid w:val="00791D87"/>
    <w:rsid w:val="00791E1C"/>
    <w:rsid w:val="00792DEC"/>
    <w:rsid w:val="00793116"/>
    <w:rsid w:val="00793249"/>
    <w:rsid w:val="007934D9"/>
    <w:rsid w:val="0079357C"/>
    <w:rsid w:val="0079467D"/>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1D15"/>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CFF"/>
    <w:rsid w:val="007A7DE1"/>
    <w:rsid w:val="007B07AC"/>
    <w:rsid w:val="007B0991"/>
    <w:rsid w:val="007B1261"/>
    <w:rsid w:val="007B1865"/>
    <w:rsid w:val="007B1B8D"/>
    <w:rsid w:val="007B292B"/>
    <w:rsid w:val="007B29C0"/>
    <w:rsid w:val="007B2F22"/>
    <w:rsid w:val="007B34FF"/>
    <w:rsid w:val="007B3538"/>
    <w:rsid w:val="007B37E8"/>
    <w:rsid w:val="007B3C17"/>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BA4"/>
    <w:rsid w:val="007C0D77"/>
    <w:rsid w:val="007C0DC1"/>
    <w:rsid w:val="007C0F92"/>
    <w:rsid w:val="007C10CF"/>
    <w:rsid w:val="007C1BE9"/>
    <w:rsid w:val="007C33D8"/>
    <w:rsid w:val="007C3579"/>
    <w:rsid w:val="007C3A9C"/>
    <w:rsid w:val="007C3C74"/>
    <w:rsid w:val="007C3E42"/>
    <w:rsid w:val="007C3EA8"/>
    <w:rsid w:val="007C42AA"/>
    <w:rsid w:val="007C4737"/>
    <w:rsid w:val="007C48A5"/>
    <w:rsid w:val="007C4AA4"/>
    <w:rsid w:val="007C5989"/>
    <w:rsid w:val="007C6B43"/>
    <w:rsid w:val="007C7768"/>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0B8"/>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0365"/>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B91"/>
    <w:rsid w:val="007F6D12"/>
    <w:rsid w:val="007F7676"/>
    <w:rsid w:val="007F7C1B"/>
    <w:rsid w:val="0080056A"/>
    <w:rsid w:val="0080081D"/>
    <w:rsid w:val="00800848"/>
    <w:rsid w:val="00800A95"/>
    <w:rsid w:val="00800E54"/>
    <w:rsid w:val="00801423"/>
    <w:rsid w:val="00801918"/>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4BB"/>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1E"/>
    <w:rsid w:val="008225DB"/>
    <w:rsid w:val="008227C9"/>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6C77"/>
    <w:rsid w:val="008275FE"/>
    <w:rsid w:val="0083000B"/>
    <w:rsid w:val="00830020"/>
    <w:rsid w:val="0083074B"/>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A69"/>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230"/>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765"/>
    <w:rsid w:val="008A18ED"/>
    <w:rsid w:val="008A19A8"/>
    <w:rsid w:val="008A1A23"/>
    <w:rsid w:val="008A2739"/>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05"/>
    <w:rsid w:val="008B001E"/>
    <w:rsid w:val="008B0410"/>
    <w:rsid w:val="008B11DA"/>
    <w:rsid w:val="008B122A"/>
    <w:rsid w:val="008B19C9"/>
    <w:rsid w:val="008B1B64"/>
    <w:rsid w:val="008B1B6C"/>
    <w:rsid w:val="008B1BEE"/>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AA1"/>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4BD6"/>
    <w:rsid w:val="008E52F7"/>
    <w:rsid w:val="008E5575"/>
    <w:rsid w:val="008E55BE"/>
    <w:rsid w:val="008E5DC2"/>
    <w:rsid w:val="008E5ECF"/>
    <w:rsid w:val="008E6107"/>
    <w:rsid w:val="008E6225"/>
    <w:rsid w:val="008E6DB1"/>
    <w:rsid w:val="008E70CE"/>
    <w:rsid w:val="008E763E"/>
    <w:rsid w:val="008E78AD"/>
    <w:rsid w:val="008F057D"/>
    <w:rsid w:val="008F0EEC"/>
    <w:rsid w:val="008F1B22"/>
    <w:rsid w:val="008F2896"/>
    <w:rsid w:val="008F2C07"/>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584"/>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257"/>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2CC5"/>
    <w:rsid w:val="009934F8"/>
    <w:rsid w:val="00994113"/>
    <w:rsid w:val="00994ADF"/>
    <w:rsid w:val="00995837"/>
    <w:rsid w:val="00995CBF"/>
    <w:rsid w:val="0099673C"/>
    <w:rsid w:val="00996CD6"/>
    <w:rsid w:val="00997967"/>
    <w:rsid w:val="00997A05"/>
    <w:rsid w:val="00997C5D"/>
    <w:rsid w:val="009A0013"/>
    <w:rsid w:val="009A013B"/>
    <w:rsid w:val="009A0451"/>
    <w:rsid w:val="009A08FA"/>
    <w:rsid w:val="009A096F"/>
    <w:rsid w:val="009A0CA4"/>
    <w:rsid w:val="009A1127"/>
    <w:rsid w:val="009A1473"/>
    <w:rsid w:val="009A1513"/>
    <w:rsid w:val="009A1AA8"/>
    <w:rsid w:val="009A1D1F"/>
    <w:rsid w:val="009A2515"/>
    <w:rsid w:val="009A2B55"/>
    <w:rsid w:val="009A2C4A"/>
    <w:rsid w:val="009A2D99"/>
    <w:rsid w:val="009A2E6A"/>
    <w:rsid w:val="009A2E91"/>
    <w:rsid w:val="009A3918"/>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43"/>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14B"/>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9B2"/>
    <w:rsid w:val="009D2E38"/>
    <w:rsid w:val="009D2EE2"/>
    <w:rsid w:val="009D318C"/>
    <w:rsid w:val="009D35FD"/>
    <w:rsid w:val="009D3DC3"/>
    <w:rsid w:val="009D3FAD"/>
    <w:rsid w:val="009D4229"/>
    <w:rsid w:val="009D43CF"/>
    <w:rsid w:val="009D48EA"/>
    <w:rsid w:val="009D4B02"/>
    <w:rsid w:val="009D4CCB"/>
    <w:rsid w:val="009D4D1B"/>
    <w:rsid w:val="009D501B"/>
    <w:rsid w:val="009D52E9"/>
    <w:rsid w:val="009D5618"/>
    <w:rsid w:val="009D74C8"/>
    <w:rsid w:val="009D77A6"/>
    <w:rsid w:val="009D7E67"/>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3C13"/>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48B7"/>
    <w:rsid w:val="009F52F1"/>
    <w:rsid w:val="009F5BB3"/>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375"/>
    <w:rsid w:val="00A11465"/>
    <w:rsid w:val="00A11729"/>
    <w:rsid w:val="00A11947"/>
    <w:rsid w:val="00A11AC9"/>
    <w:rsid w:val="00A123CF"/>
    <w:rsid w:val="00A12425"/>
    <w:rsid w:val="00A124A0"/>
    <w:rsid w:val="00A12BD4"/>
    <w:rsid w:val="00A12D3E"/>
    <w:rsid w:val="00A12D49"/>
    <w:rsid w:val="00A12E46"/>
    <w:rsid w:val="00A13160"/>
    <w:rsid w:val="00A13229"/>
    <w:rsid w:val="00A13460"/>
    <w:rsid w:val="00A1370F"/>
    <w:rsid w:val="00A13C2B"/>
    <w:rsid w:val="00A14044"/>
    <w:rsid w:val="00A140FD"/>
    <w:rsid w:val="00A14278"/>
    <w:rsid w:val="00A146B3"/>
    <w:rsid w:val="00A14DF9"/>
    <w:rsid w:val="00A151CE"/>
    <w:rsid w:val="00A151E0"/>
    <w:rsid w:val="00A15723"/>
    <w:rsid w:val="00A15C56"/>
    <w:rsid w:val="00A15ED2"/>
    <w:rsid w:val="00A162B5"/>
    <w:rsid w:val="00A1637A"/>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1ED"/>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82"/>
    <w:rsid w:val="00A77DAC"/>
    <w:rsid w:val="00A80195"/>
    <w:rsid w:val="00A806A4"/>
    <w:rsid w:val="00A8116C"/>
    <w:rsid w:val="00A817C8"/>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89F"/>
    <w:rsid w:val="00AD0FE3"/>
    <w:rsid w:val="00AD130B"/>
    <w:rsid w:val="00AD13D8"/>
    <w:rsid w:val="00AD1461"/>
    <w:rsid w:val="00AD17AE"/>
    <w:rsid w:val="00AD2216"/>
    <w:rsid w:val="00AD24DE"/>
    <w:rsid w:val="00AD2C14"/>
    <w:rsid w:val="00AD2DAA"/>
    <w:rsid w:val="00AD3268"/>
    <w:rsid w:val="00AD3D68"/>
    <w:rsid w:val="00AD4609"/>
    <w:rsid w:val="00AD4ED3"/>
    <w:rsid w:val="00AD516E"/>
    <w:rsid w:val="00AD5BFB"/>
    <w:rsid w:val="00AD674F"/>
    <w:rsid w:val="00AD6A14"/>
    <w:rsid w:val="00AD6CBA"/>
    <w:rsid w:val="00AD7167"/>
    <w:rsid w:val="00AD73C1"/>
    <w:rsid w:val="00AD78ED"/>
    <w:rsid w:val="00AD7AE8"/>
    <w:rsid w:val="00AE050D"/>
    <w:rsid w:val="00AE0AC6"/>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1B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5F1"/>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6E2"/>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3D5A"/>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BCB"/>
    <w:rsid w:val="00B6032B"/>
    <w:rsid w:val="00B60648"/>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C0E"/>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2C9"/>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AA7"/>
    <w:rsid w:val="00BC1F16"/>
    <w:rsid w:val="00BC2117"/>
    <w:rsid w:val="00BC21D6"/>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B6F"/>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8A4"/>
    <w:rsid w:val="00BF4D09"/>
    <w:rsid w:val="00BF4FCB"/>
    <w:rsid w:val="00BF5055"/>
    <w:rsid w:val="00BF5A6D"/>
    <w:rsid w:val="00BF6363"/>
    <w:rsid w:val="00BF64C3"/>
    <w:rsid w:val="00BF7234"/>
    <w:rsid w:val="00BF77D8"/>
    <w:rsid w:val="00BF793D"/>
    <w:rsid w:val="00BF7AAF"/>
    <w:rsid w:val="00BF7B32"/>
    <w:rsid w:val="00C00987"/>
    <w:rsid w:val="00C009C4"/>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0C3"/>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680"/>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958"/>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DFE"/>
    <w:rsid w:val="00C83EB0"/>
    <w:rsid w:val="00C84D9A"/>
    <w:rsid w:val="00C85216"/>
    <w:rsid w:val="00C85B22"/>
    <w:rsid w:val="00C85DC0"/>
    <w:rsid w:val="00C86048"/>
    <w:rsid w:val="00C86091"/>
    <w:rsid w:val="00C8671D"/>
    <w:rsid w:val="00C868D4"/>
    <w:rsid w:val="00C869E6"/>
    <w:rsid w:val="00C86B9D"/>
    <w:rsid w:val="00C87947"/>
    <w:rsid w:val="00C90011"/>
    <w:rsid w:val="00C9072F"/>
    <w:rsid w:val="00C9074F"/>
    <w:rsid w:val="00C909E7"/>
    <w:rsid w:val="00C90ADF"/>
    <w:rsid w:val="00C90DA8"/>
    <w:rsid w:val="00C91F24"/>
    <w:rsid w:val="00C925A1"/>
    <w:rsid w:val="00C93568"/>
    <w:rsid w:val="00C93C2A"/>
    <w:rsid w:val="00C93DB2"/>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676"/>
    <w:rsid w:val="00CC7703"/>
    <w:rsid w:val="00CC7BF0"/>
    <w:rsid w:val="00CC7E89"/>
    <w:rsid w:val="00CC7F21"/>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1F25"/>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0D72"/>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339"/>
    <w:rsid w:val="00D007C1"/>
    <w:rsid w:val="00D00900"/>
    <w:rsid w:val="00D01210"/>
    <w:rsid w:val="00D0124D"/>
    <w:rsid w:val="00D012F1"/>
    <w:rsid w:val="00D013DC"/>
    <w:rsid w:val="00D0158B"/>
    <w:rsid w:val="00D0158F"/>
    <w:rsid w:val="00D02712"/>
    <w:rsid w:val="00D02817"/>
    <w:rsid w:val="00D02F1B"/>
    <w:rsid w:val="00D03114"/>
    <w:rsid w:val="00D032E3"/>
    <w:rsid w:val="00D03BA6"/>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639"/>
    <w:rsid w:val="00D42CBB"/>
    <w:rsid w:val="00D42F2E"/>
    <w:rsid w:val="00D433DD"/>
    <w:rsid w:val="00D43A28"/>
    <w:rsid w:val="00D43B79"/>
    <w:rsid w:val="00D43D53"/>
    <w:rsid w:val="00D4413E"/>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6A1"/>
    <w:rsid w:val="00D527A8"/>
    <w:rsid w:val="00D52CF5"/>
    <w:rsid w:val="00D53051"/>
    <w:rsid w:val="00D5375D"/>
    <w:rsid w:val="00D53CAF"/>
    <w:rsid w:val="00D53F14"/>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B58"/>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6F77"/>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62"/>
    <w:rsid w:val="00DA10A5"/>
    <w:rsid w:val="00DA1420"/>
    <w:rsid w:val="00DA1609"/>
    <w:rsid w:val="00DA18E0"/>
    <w:rsid w:val="00DA2A04"/>
    <w:rsid w:val="00DA2A56"/>
    <w:rsid w:val="00DA30DE"/>
    <w:rsid w:val="00DA337D"/>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3FA1"/>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63ED"/>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13"/>
    <w:rsid w:val="00E039EE"/>
    <w:rsid w:val="00E03C52"/>
    <w:rsid w:val="00E03F68"/>
    <w:rsid w:val="00E04341"/>
    <w:rsid w:val="00E04443"/>
    <w:rsid w:val="00E048E1"/>
    <w:rsid w:val="00E04BF2"/>
    <w:rsid w:val="00E05100"/>
    <w:rsid w:val="00E05776"/>
    <w:rsid w:val="00E0605C"/>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92C"/>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3D"/>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59D"/>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544"/>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3DF"/>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7A3"/>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A53"/>
    <w:rsid w:val="00EA3DA6"/>
    <w:rsid w:val="00EA3EC8"/>
    <w:rsid w:val="00EA3ECC"/>
    <w:rsid w:val="00EA449C"/>
    <w:rsid w:val="00EA4516"/>
    <w:rsid w:val="00EA45CC"/>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3E3"/>
    <w:rsid w:val="00EB241E"/>
    <w:rsid w:val="00EB243A"/>
    <w:rsid w:val="00EB25CA"/>
    <w:rsid w:val="00EB277C"/>
    <w:rsid w:val="00EB2E30"/>
    <w:rsid w:val="00EB2E91"/>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45C"/>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44F"/>
    <w:rsid w:val="00EE651D"/>
    <w:rsid w:val="00EE6544"/>
    <w:rsid w:val="00EE6749"/>
    <w:rsid w:val="00EE6819"/>
    <w:rsid w:val="00EE68BF"/>
    <w:rsid w:val="00EE7022"/>
    <w:rsid w:val="00EE7792"/>
    <w:rsid w:val="00EE7CD4"/>
    <w:rsid w:val="00EF01BC"/>
    <w:rsid w:val="00EF02CC"/>
    <w:rsid w:val="00EF02E7"/>
    <w:rsid w:val="00EF03DF"/>
    <w:rsid w:val="00EF05B4"/>
    <w:rsid w:val="00EF0948"/>
    <w:rsid w:val="00EF11CE"/>
    <w:rsid w:val="00EF150A"/>
    <w:rsid w:val="00EF1B9F"/>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EF7D57"/>
    <w:rsid w:val="00F00708"/>
    <w:rsid w:val="00F0081B"/>
    <w:rsid w:val="00F01668"/>
    <w:rsid w:val="00F016D0"/>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0DA7"/>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003"/>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522"/>
    <w:rsid w:val="00FA19D5"/>
    <w:rsid w:val="00FA1E90"/>
    <w:rsid w:val="00FA23A4"/>
    <w:rsid w:val="00FA3117"/>
    <w:rsid w:val="00FA3755"/>
    <w:rsid w:val="00FA3AB7"/>
    <w:rsid w:val="00FA3F9A"/>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7A1"/>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D7C2E"/>
    <w:rsid w:val="00FE0906"/>
    <w:rsid w:val="00FE0B32"/>
    <w:rsid w:val="00FE102B"/>
    <w:rsid w:val="00FE162D"/>
    <w:rsid w:val="00FE17E8"/>
    <w:rsid w:val="00FE1D76"/>
    <w:rsid w:val="00FE1F3C"/>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C4D"/>
    <w:rsid w:val="00FF4E12"/>
    <w:rsid w:val="00FF4F4D"/>
    <w:rsid w:val="00FF4FAF"/>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4">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qFormat/>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 w:type="paragraph" w:customStyle="1" w:styleId="DefaultLTGliederung1">
    <w:name w:val="Default~LT~Gliederung 1"/>
    <w:uiPriority w:val="99"/>
    <w:rsid w:val="00D526A1"/>
    <w:pPr>
      <w:tabs>
        <w:tab w:val="left" w:pos="1080"/>
        <w:tab w:val="left" w:pos="2520"/>
        <w:tab w:val="left" w:pos="3960"/>
        <w:tab w:val="left" w:pos="5400"/>
        <w:tab w:val="left" w:pos="6840"/>
        <w:tab w:val="left" w:pos="8280"/>
        <w:tab w:val="left" w:pos="9720"/>
        <w:tab w:val="left" w:pos="11160"/>
        <w:tab w:val="left" w:pos="12600"/>
        <w:tab w:val="left" w:pos="14040"/>
        <w:tab w:val="left" w:pos="15480"/>
      </w:tabs>
      <w:autoSpaceDE w:val="0"/>
      <w:autoSpaceDN w:val="0"/>
      <w:adjustRightInd w:val="0"/>
      <w:spacing w:before="200" w:line="216" w:lineRule="auto"/>
    </w:pPr>
    <w:rPr>
      <w:rFonts w:ascii="FreeSans" w:hAnsi="FreeSans" w:cs="FreeSans"/>
      <w:color w:val="000000"/>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21"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A1EBE-7A76-4E39-B2CB-FC61F65E4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4</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6071</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33</cp:revision>
  <cp:lastPrinted>2010-08-09T09:27:00Z</cp:lastPrinted>
  <dcterms:created xsi:type="dcterms:W3CDTF">2017-05-05T02:02:00Z</dcterms:created>
  <dcterms:modified xsi:type="dcterms:W3CDTF">2017-09-11T12:20:00Z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